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41A400" w14:textId="77777777" w:rsidR="00A702C3" w:rsidRPr="00AD2BB8" w:rsidRDefault="00A702C3" w:rsidP="00A702C3">
      <w:pPr>
        <w:spacing w:after="0" w:line="240" w:lineRule="auto"/>
        <w:jc w:val="center"/>
        <w:rPr>
          <w:b/>
        </w:rPr>
      </w:pPr>
      <w:r w:rsidRPr="00AD2BB8">
        <w:rPr>
          <w:b/>
        </w:rPr>
        <w:t>UNITED STATES DISTRICT COURT</w:t>
      </w:r>
    </w:p>
    <w:p w14:paraId="4A3D5CC1" w14:textId="77777777" w:rsidR="00A702C3" w:rsidRDefault="00A702C3" w:rsidP="00A702C3">
      <w:pPr>
        <w:spacing w:after="0" w:line="240" w:lineRule="auto"/>
        <w:jc w:val="center"/>
        <w:rPr>
          <w:b/>
        </w:rPr>
      </w:pPr>
      <w:r>
        <w:rPr>
          <w:b/>
        </w:rPr>
        <w:t>DISTRICT OF MOOT</w:t>
      </w:r>
    </w:p>
    <w:p w14:paraId="2F1C4044" w14:textId="77777777" w:rsidR="00A702C3" w:rsidRPr="00AB70C8" w:rsidRDefault="00A702C3" w:rsidP="00A702C3">
      <w:pPr>
        <w:spacing w:after="0" w:line="240" w:lineRule="auto"/>
        <w:jc w:val="center"/>
        <w:rPr>
          <w:b/>
        </w:rPr>
      </w:pPr>
    </w:p>
    <w:p w14:paraId="69DA369C" w14:textId="77777777" w:rsidR="00A702C3" w:rsidRDefault="00A702C3" w:rsidP="00A702C3">
      <w:pPr>
        <w:pStyle w:val="table0020grid1"/>
        <w:spacing w:before="0" w:beforeAutospacing="0" w:after="0" w:afterAutospacing="0"/>
        <w:rPr>
          <w:color w:val="000000"/>
        </w:rPr>
      </w:pPr>
    </w:p>
    <w:p w14:paraId="736DEA91" w14:textId="77777777" w:rsidR="00A702C3" w:rsidRDefault="00A702C3" w:rsidP="00A702C3">
      <w:pPr>
        <w:pStyle w:val="table0020grid1"/>
        <w:spacing w:before="0" w:beforeAutospacing="0" w:after="0" w:afterAutospacing="0"/>
        <w:rPr>
          <w:color w:val="000000"/>
        </w:rPr>
      </w:pPr>
      <w:r>
        <w:rPr>
          <w:color w:val="000000"/>
        </w:rPr>
        <w:t>OGS TV, INC.</w:t>
      </w:r>
      <w:r>
        <w:rPr>
          <w:color w:val="000000"/>
        </w:rPr>
        <w:tab/>
      </w:r>
      <w:r>
        <w:rPr>
          <w:color w:val="000000"/>
        </w:rPr>
        <w:tab/>
      </w:r>
      <w:r>
        <w:rPr>
          <w:color w:val="000000"/>
        </w:rPr>
        <w:tab/>
      </w:r>
      <w:r>
        <w:rPr>
          <w:color w:val="000000"/>
        </w:rPr>
        <w:tab/>
      </w:r>
      <w:r>
        <w:rPr>
          <w:color w:val="000000"/>
        </w:rPr>
        <w:tab/>
      </w:r>
      <w:r>
        <w:rPr>
          <w:color w:val="000000"/>
        </w:rPr>
        <w:tab/>
        <w:t>Court File No. 27-CV-12-1234</w:t>
      </w:r>
    </w:p>
    <w:p w14:paraId="5ACCAC18" w14:textId="77777777" w:rsidR="00A702C3" w:rsidRDefault="00A702C3" w:rsidP="00A702C3">
      <w:pPr>
        <w:pStyle w:val="table0020grid1"/>
        <w:spacing w:before="0" w:beforeAutospacing="0" w:after="0" w:afterAutospacing="0"/>
        <w:rPr>
          <w:color w:val="000000"/>
        </w:rPr>
      </w:pPr>
      <w:r>
        <w:rPr>
          <w:color w:val="000000"/>
        </w:rPr>
        <w:t> </w:t>
      </w:r>
      <w:r>
        <w:rPr>
          <w:color w:val="000000"/>
        </w:rPr>
        <w:tab/>
      </w:r>
      <w:r>
        <w:rPr>
          <w:color w:val="000000"/>
        </w:rPr>
        <w:tab/>
      </w:r>
      <w:r>
        <w:rPr>
          <w:color w:val="000000"/>
        </w:rPr>
        <w:tab/>
      </w:r>
      <w:r>
        <w:rPr>
          <w:color w:val="000000"/>
        </w:rPr>
        <w:tab/>
        <w:t>Plaintiff</w:t>
      </w:r>
    </w:p>
    <w:p w14:paraId="78F2F273" w14:textId="77777777" w:rsidR="00A702C3" w:rsidRDefault="00A702C3" w:rsidP="00A702C3">
      <w:pPr>
        <w:pStyle w:val="table0020grid1"/>
        <w:spacing w:before="0" w:beforeAutospacing="0" w:after="0" w:afterAutospacing="0" w:line="480" w:lineRule="auto"/>
        <w:rPr>
          <w:color w:val="000000"/>
        </w:rPr>
      </w:pPr>
      <w:proofErr w:type="gramStart"/>
      <w:r>
        <w:rPr>
          <w:color w:val="000000"/>
        </w:rPr>
        <w:t>v</w:t>
      </w:r>
      <w:proofErr w:type="gramEnd"/>
      <w:r>
        <w:rPr>
          <w:color w:val="000000"/>
        </w:rPr>
        <w:t>.</w:t>
      </w:r>
    </w:p>
    <w:p w14:paraId="1B4C2EE6" w14:textId="77777777" w:rsidR="00A702C3" w:rsidRDefault="00A702C3" w:rsidP="00A702C3">
      <w:pPr>
        <w:pStyle w:val="table0020grid1"/>
        <w:spacing w:before="0" w:beforeAutospacing="0" w:after="0" w:afterAutospacing="0"/>
        <w:rPr>
          <w:color w:val="000000"/>
        </w:rPr>
      </w:pPr>
      <w:r>
        <w:rPr>
          <w:color w:val="000000"/>
        </w:rPr>
        <w:t xml:space="preserve">Elizabeth Lime, and </w:t>
      </w:r>
      <w:proofErr w:type="spellStart"/>
      <w:r>
        <w:rPr>
          <w:color w:val="000000"/>
        </w:rPr>
        <w:t>TinyTV</w:t>
      </w:r>
      <w:proofErr w:type="spellEnd"/>
      <w:r>
        <w:rPr>
          <w:color w:val="000000"/>
        </w:rPr>
        <w:t>, Inc.</w:t>
      </w:r>
      <w:r>
        <w:rPr>
          <w:color w:val="000000"/>
        </w:rPr>
        <w:tab/>
      </w:r>
      <w:r>
        <w:rPr>
          <w:color w:val="000000"/>
        </w:rPr>
        <w:tab/>
      </w:r>
      <w:r>
        <w:rPr>
          <w:color w:val="000000"/>
        </w:rPr>
        <w:tab/>
      </w:r>
      <w:r>
        <w:rPr>
          <w:color w:val="000000"/>
        </w:rPr>
        <w:tab/>
        <w:t xml:space="preserve">DEFENDANTS’ MEMORANDUM </w:t>
      </w:r>
    </w:p>
    <w:p w14:paraId="54AFF09D" w14:textId="77777777" w:rsidR="00A702C3" w:rsidRDefault="00A702C3" w:rsidP="00A702C3">
      <w:pPr>
        <w:pStyle w:val="table0020grid1"/>
        <w:spacing w:before="0" w:beforeAutospacing="0" w:after="0" w:afterAutospacing="0"/>
        <w:ind w:left="2160" w:firstLine="720"/>
        <w:rPr>
          <w:color w:val="000000"/>
        </w:rPr>
      </w:pPr>
      <w:r>
        <w:rPr>
          <w:color w:val="000000"/>
        </w:rPr>
        <w:t>Defendants</w:t>
      </w:r>
      <w:r>
        <w:rPr>
          <w:color w:val="000000"/>
        </w:rPr>
        <w:tab/>
      </w:r>
      <w:r>
        <w:rPr>
          <w:color w:val="000000"/>
        </w:rPr>
        <w:tab/>
      </w:r>
      <w:r>
        <w:rPr>
          <w:color w:val="000000"/>
        </w:rPr>
        <w:tab/>
        <w:t xml:space="preserve">IN SUPPORT OF MOTION TO </w:t>
      </w:r>
    </w:p>
    <w:p w14:paraId="7CAEA6AD" w14:textId="77777777" w:rsidR="00A702C3" w:rsidRDefault="00A702C3" w:rsidP="00A702C3">
      <w:pPr>
        <w:pStyle w:val="table0020grid1"/>
        <w:spacing w:before="0" w:beforeAutospacing="0" w:after="0" w:afterAutospacing="0"/>
        <w:ind w:left="5760"/>
        <w:rPr>
          <w:color w:val="000000"/>
        </w:rPr>
      </w:pPr>
      <w:r>
        <w:rPr>
          <w:color w:val="000000"/>
        </w:rPr>
        <w:t>DISMISS</w:t>
      </w:r>
    </w:p>
    <w:p w14:paraId="533D2D6A" w14:textId="77777777" w:rsidR="00A702C3" w:rsidRDefault="00A702C3" w:rsidP="00A702C3">
      <w:pPr>
        <w:pStyle w:val="table0020grid1"/>
        <w:spacing w:before="0" w:beforeAutospacing="0" w:after="0" w:afterAutospacing="0"/>
        <w:ind w:left="5760"/>
        <w:rPr>
          <w:color w:val="000000"/>
        </w:rPr>
      </w:pPr>
    </w:p>
    <w:p w14:paraId="6D040B01" w14:textId="77777777" w:rsidR="00A702C3" w:rsidRDefault="00A702C3" w:rsidP="00A702C3">
      <w:pPr>
        <w:pStyle w:val="table0020grid1"/>
        <w:spacing w:before="0" w:beforeAutospacing="0" w:after="0" w:afterAutospacing="0"/>
        <w:ind w:left="5760"/>
        <w:rPr>
          <w:b/>
          <w:color w:val="000000"/>
        </w:rPr>
      </w:pPr>
    </w:p>
    <w:p w14:paraId="4F271ADA" w14:textId="77777777" w:rsidR="00A702C3" w:rsidRDefault="00A702C3" w:rsidP="00A702C3">
      <w:pPr>
        <w:pStyle w:val="table0020grid1"/>
        <w:spacing w:before="0" w:beforeAutospacing="0" w:after="0" w:afterAutospacing="0"/>
        <w:contextualSpacing/>
        <w:jc w:val="center"/>
        <w:rPr>
          <w:b/>
          <w:color w:val="000000"/>
          <w:u w:val="single"/>
        </w:rPr>
      </w:pPr>
      <w:r>
        <w:rPr>
          <w:b/>
          <w:color w:val="000000"/>
          <w:u w:val="single"/>
        </w:rPr>
        <w:t>INTRODUCTION</w:t>
      </w:r>
    </w:p>
    <w:p w14:paraId="2A3DEFD8" w14:textId="77777777" w:rsidR="00A702C3" w:rsidRDefault="00A702C3" w:rsidP="00A702C3">
      <w:pPr>
        <w:pStyle w:val="table0020grid1"/>
        <w:spacing w:before="0" w:beforeAutospacing="0" w:after="0" w:afterAutospacing="0"/>
        <w:contextualSpacing/>
        <w:jc w:val="center"/>
        <w:rPr>
          <w:b/>
          <w:color w:val="000000"/>
          <w:u w:val="single"/>
        </w:rPr>
      </w:pPr>
    </w:p>
    <w:p w14:paraId="2526F25C" w14:textId="77777777" w:rsidR="00A702C3" w:rsidRPr="0016012E" w:rsidRDefault="00A702C3" w:rsidP="00A702C3">
      <w:pPr>
        <w:spacing w:after="0" w:line="480" w:lineRule="auto"/>
      </w:pPr>
      <w:r>
        <w:rPr>
          <w:color w:val="000000"/>
        </w:rPr>
        <w:tab/>
        <w:t xml:space="preserve">Defendants, Elizabeth Lime (Ms. Lime) and </w:t>
      </w:r>
      <w:proofErr w:type="spellStart"/>
      <w:r>
        <w:rPr>
          <w:color w:val="000000"/>
        </w:rPr>
        <w:t>TinyTV</w:t>
      </w:r>
      <w:proofErr w:type="spellEnd"/>
      <w:r>
        <w:rPr>
          <w:color w:val="000000"/>
        </w:rPr>
        <w:t>, Inc. (</w:t>
      </w:r>
      <w:proofErr w:type="spellStart"/>
      <w:r>
        <w:rPr>
          <w:color w:val="000000"/>
        </w:rPr>
        <w:t>TinyTV</w:t>
      </w:r>
      <w:proofErr w:type="spellEnd"/>
      <w:r>
        <w:rPr>
          <w:color w:val="000000"/>
        </w:rPr>
        <w:t xml:space="preserve">) submit this Memorandum in Support of their Motion to Dismiss under Federal Rule of Civil Procedure 12(b)(6).  Plaintiff OGS TV, INC. (OGS) filed a complaint against Defendants under the Federal Copyright Act of 1976, as amended, 17 U.S.C. §§ 101 </w:t>
      </w:r>
      <w:proofErr w:type="gramStart"/>
      <w:r>
        <w:rPr>
          <w:color w:val="000000"/>
        </w:rPr>
        <w:t>et</w:t>
      </w:r>
      <w:proofErr w:type="gramEnd"/>
      <w:r>
        <w:rPr>
          <w:color w:val="000000"/>
        </w:rPr>
        <w:t xml:space="preserve">. </w:t>
      </w:r>
      <w:proofErr w:type="gramStart"/>
      <w:r>
        <w:rPr>
          <w:color w:val="000000"/>
        </w:rPr>
        <w:t>seq</w:t>
      </w:r>
      <w:proofErr w:type="gramEnd"/>
      <w:r>
        <w:rPr>
          <w:color w:val="000000"/>
        </w:rPr>
        <w:t xml:space="preserve">. (Copyright Act).  Plaintiffs contend Defendants infringed upon Plaintiff’s alleged copyright by writing, producing or performing the screenplay entitled “The Love Below.” Plaintiff owns no copyright, however, that prohibits such conduct.  Defendants ask the Court to dismiss the Complaint because OGS has failed to assert a valid claim upon which relief can be granted.  Defendant Ms. Lime and Plaintiff did not sign a written agreement that identified the screenplay “Anticipatory Repudiation” as a “Work Made for Hire” preceding its creation, thus the screenplay was not a “Work Made for Hire” within the meaning of the Copyright Act.  Defendant Ms. Lime is therefore author and owner of the screenplay “Anticipatory Repudiation.”  </w:t>
      </w:r>
      <w:r>
        <w:t>The Motion to Dismiss should be granted because Plaintiff does not own a copyright pursuant to and entitled to protection under the Copyright Act, for “Anticipatory Repudiation” was not properly established as a “Work Made for Hire.”</w:t>
      </w:r>
    </w:p>
    <w:p w14:paraId="622C726F" w14:textId="77777777" w:rsidR="00A702C3" w:rsidRDefault="00A702C3" w:rsidP="00A702C3">
      <w:pPr>
        <w:pStyle w:val="table0020grid1"/>
        <w:spacing w:before="0" w:beforeAutospacing="0" w:after="0" w:afterAutospacing="0" w:line="480" w:lineRule="auto"/>
        <w:jc w:val="center"/>
        <w:rPr>
          <w:b/>
          <w:color w:val="000000"/>
          <w:u w:val="single"/>
        </w:rPr>
      </w:pPr>
      <w:r>
        <w:rPr>
          <w:b/>
          <w:color w:val="000000"/>
          <w:u w:val="single"/>
        </w:rPr>
        <w:t>UNDISPUTED FACTS AND PROCEDURAL POSTURE</w:t>
      </w:r>
    </w:p>
    <w:p w14:paraId="5E2F034F" w14:textId="77777777" w:rsidR="00A702C3" w:rsidRPr="00105CD5" w:rsidRDefault="00A702C3" w:rsidP="00A702C3">
      <w:pPr>
        <w:pStyle w:val="table0020grid1"/>
        <w:spacing w:before="0" w:beforeAutospacing="0" w:after="0" w:afterAutospacing="0" w:line="480" w:lineRule="auto"/>
        <w:rPr>
          <w:color w:val="000000"/>
        </w:rPr>
      </w:pPr>
      <w:r>
        <w:rPr>
          <w:color w:val="000000"/>
        </w:rPr>
        <w:lastRenderedPageBreak/>
        <w:tab/>
        <w:t xml:space="preserve">For the purposes of this Motion, the following matters are undisputed.  Defendant Ms. Lime is a well-known television writer with more than 15 years of experience. </w:t>
      </w:r>
      <w:proofErr w:type="spellStart"/>
      <w:r>
        <w:rPr>
          <w:color w:val="000000"/>
        </w:rPr>
        <w:t>Compl</w:t>
      </w:r>
      <w:proofErr w:type="spellEnd"/>
      <w:r>
        <w:rPr>
          <w:color w:val="000000"/>
        </w:rPr>
        <w:t xml:space="preserve">. ¶11.  Defendant Ms. Lime was contacted by Plaintiff on March 27, 2010.  </w:t>
      </w:r>
      <w:proofErr w:type="spellStart"/>
      <w:r>
        <w:rPr>
          <w:color w:val="000000"/>
        </w:rPr>
        <w:t>Compl</w:t>
      </w:r>
      <w:proofErr w:type="spellEnd"/>
      <w:r>
        <w:rPr>
          <w:color w:val="000000"/>
        </w:rPr>
        <w:t xml:space="preserve">. ¶ 9.  Plaintiff created, produced and aired the television series </w:t>
      </w:r>
      <w:r>
        <w:rPr>
          <w:i/>
          <w:color w:val="000000"/>
        </w:rPr>
        <w:t>Lawless Love</w:t>
      </w:r>
      <w:r>
        <w:rPr>
          <w:color w:val="000000"/>
        </w:rPr>
        <w:t xml:space="preserve">.  </w:t>
      </w:r>
      <w:proofErr w:type="spellStart"/>
      <w:r>
        <w:rPr>
          <w:color w:val="000000"/>
        </w:rPr>
        <w:t>Compl</w:t>
      </w:r>
      <w:proofErr w:type="spellEnd"/>
      <w:r>
        <w:rPr>
          <w:color w:val="000000"/>
        </w:rPr>
        <w:t xml:space="preserve">. ¶ 5.  Plaintiff’s writers prepared 39 screenplays for </w:t>
      </w:r>
      <w:r>
        <w:rPr>
          <w:i/>
          <w:color w:val="000000"/>
        </w:rPr>
        <w:t>Lawless Love</w:t>
      </w:r>
      <w:r>
        <w:rPr>
          <w:color w:val="000000"/>
        </w:rPr>
        <w:t xml:space="preserve"> prior to April 2, 2010.  </w:t>
      </w:r>
      <w:r>
        <w:rPr>
          <w:i/>
          <w:color w:val="000000"/>
        </w:rPr>
        <w:t>Id</w:t>
      </w:r>
      <w:r>
        <w:rPr>
          <w:color w:val="000000"/>
        </w:rPr>
        <w:t xml:space="preserve">.  Defendant Ms. Lime had not written for Plaintiff prior to when she was contacted by Plaintiff. </w:t>
      </w:r>
      <w:proofErr w:type="gramStart"/>
      <w:r>
        <w:rPr>
          <w:color w:val="000000"/>
        </w:rPr>
        <w:t>¶¶ 9, 11.</w:t>
      </w:r>
      <w:proofErr w:type="gramEnd"/>
    </w:p>
    <w:p w14:paraId="4C9ED89F" w14:textId="77777777" w:rsidR="00A702C3" w:rsidRDefault="00A702C3" w:rsidP="00A702C3">
      <w:pPr>
        <w:pStyle w:val="table0020grid1"/>
        <w:spacing w:before="0" w:beforeAutospacing="0" w:after="0" w:afterAutospacing="0" w:line="480" w:lineRule="auto"/>
        <w:ind w:firstLine="720"/>
        <w:rPr>
          <w:color w:val="000000"/>
        </w:rPr>
      </w:pPr>
      <w:r>
        <w:rPr>
          <w:color w:val="000000"/>
        </w:rPr>
        <w:t xml:space="preserve">On March 27, 2010, Plaintiff’s executive producer Dave Nelson (Nelson) met with Defendant Ms. Lime in the office of the Plaintiff. </w:t>
      </w:r>
      <w:proofErr w:type="spellStart"/>
      <w:r>
        <w:rPr>
          <w:color w:val="000000"/>
        </w:rPr>
        <w:t>Compl</w:t>
      </w:r>
      <w:proofErr w:type="spellEnd"/>
      <w:r>
        <w:rPr>
          <w:color w:val="000000"/>
        </w:rPr>
        <w:t xml:space="preserve">. </w:t>
      </w:r>
      <w:proofErr w:type="gramStart"/>
      <w:r>
        <w:rPr>
          <w:color w:val="000000"/>
        </w:rPr>
        <w:t>¶¶ 9, 10, 12.</w:t>
      </w:r>
      <w:proofErr w:type="gramEnd"/>
      <w:r>
        <w:rPr>
          <w:color w:val="000000"/>
        </w:rPr>
        <w:t xml:space="preserve">  During the meeting, Nelson and Ms. Lime agreed </w:t>
      </w:r>
      <w:r w:rsidRPr="00B4751B">
        <w:rPr>
          <w:i/>
          <w:color w:val="000000"/>
        </w:rPr>
        <w:t>orally</w:t>
      </w:r>
      <w:r>
        <w:rPr>
          <w:color w:val="000000"/>
        </w:rPr>
        <w:t xml:space="preserve"> that Ms. Lime would prepare a screenplay for potential use by Plaintiff in Plaintiff’s television series, </w:t>
      </w:r>
      <w:r>
        <w:rPr>
          <w:i/>
          <w:color w:val="000000"/>
        </w:rPr>
        <w:t>Lawless Love</w:t>
      </w:r>
      <w:r>
        <w:rPr>
          <w:color w:val="000000"/>
        </w:rPr>
        <w:t xml:space="preserve">, by April 1, 2010.  </w:t>
      </w:r>
      <w:proofErr w:type="spellStart"/>
      <w:r>
        <w:rPr>
          <w:color w:val="000000"/>
        </w:rPr>
        <w:t>Compl</w:t>
      </w:r>
      <w:proofErr w:type="spellEnd"/>
      <w:r>
        <w:rPr>
          <w:color w:val="000000"/>
        </w:rPr>
        <w:t xml:space="preserve">. </w:t>
      </w:r>
      <w:proofErr w:type="gramStart"/>
      <w:r>
        <w:rPr>
          <w:color w:val="000000"/>
        </w:rPr>
        <w:t>¶¶ 5, 9, 13.</w:t>
      </w:r>
      <w:proofErr w:type="gramEnd"/>
      <w:r>
        <w:rPr>
          <w:color w:val="000000"/>
        </w:rPr>
        <w:t xml:space="preserve">  During the March 27, 2010 meeting, Defendant Ms. Lime agreed orally that her work on the screenplay would be “for hire.” </w:t>
      </w:r>
      <w:proofErr w:type="spellStart"/>
      <w:r>
        <w:rPr>
          <w:color w:val="000000"/>
        </w:rPr>
        <w:t>Compl</w:t>
      </w:r>
      <w:proofErr w:type="spellEnd"/>
      <w:r>
        <w:rPr>
          <w:color w:val="000000"/>
        </w:rPr>
        <w:t xml:space="preserve">. </w:t>
      </w:r>
      <w:proofErr w:type="gramStart"/>
      <w:r>
        <w:rPr>
          <w:color w:val="000000"/>
        </w:rPr>
        <w:t>¶¶ 16, 17.</w:t>
      </w:r>
      <w:proofErr w:type="gramEnd"/>
      <w:r>
        <w:rPr>
          <w:color w:val="000000"/>
        </w:rPr>
        <w:t xml:space="preserve">  Defendant Ms. Lime agreed to be paid $6,000 in compensation from Plaintiff for writing the screenplay.  </w:t>
      </w:r>
      <w:proofErr w:type="spellStart"/>
      <w:r>
        <w:rPr>
          <w:color w:val="000000"/>
        </w:rPr>
        <w:t>Compl</w:t>
      </w:r>
      <w:proofErr w:type="spellEnd"/>
      <w:r>
        <w:rPr>
          <w:color w:val="000000"/>
        </w:rPr>
        <w:t xml:space="preserve">. ¶ 15.  </w:t>
      </w:r>
    </w:p>
    <w:p w14:paraId="04E92D53" w14:textId="77777777" w:rsidR="00A702C3" w:rsidRDefault="00A702C3" w:rsidP="00A702C3">
      <w:pPr>
        <w:pStyle w:val="table0020grid1"/>
        <w:spacing w:before="0" w:beforeAutospacing="0" w:after="0" w:afterAutospacing="0" w:line="480" w:lineRule="auto"/>
        <w:ind w:firstLine="720"/>
        <w:rPr>
          <w:color w:val="000000"/>
        </w:rPr>
      </w:pPr>
      <w:r>
        <w:t xml:space="preserve">Following the March 27, 2010 meeting, Defendant Ms. Lime </w:t>
      </w:r>
      <w:r w:rsidRPr="007F1867">
        <w:rPr>
          <w:color w:val="000000"/>
        </w:rPr>
        <w:t>wrote</w:t>
      </w:r>
      <w:r>
        <w:rPr>
          <w:color w:val="000000"/>
        </w:rPr>
        <w:t xml:space="preserve">, created and authored the screenplay entitled “Anticipatory Repudiation” and submitted it to Plaintiff on April 1, 2010. </w:t>
      </w:r>
      <w:proofErr w:type="spellStart"/>
      <w:r>
        <w:rPr>
          <w:color w:val="000000"/>
        </w:rPr>
        <w:t>Compl</w:t>
      </w:r>
      <w:proofErr w:type="spellEnd"/>
      <w:r>
        <w:rPr>
          <w:color w:val="000000"/>
        </w:rPr>
        <w:t xml:space="preserve">. ¶ 21.  Plaintiff received a certificate of registration from the Register of Copyrights for “Anticipatory Repudiation” dated April 2, 2010.  </w:t>
      </w:r>
      <w:proofErr w:type="spellStart"/>
      <w:r>
        <w:rPr>
          <w:color w:val="000000"/>
        </w:rPr>
        <w:t>Compl</w:t>
      </w:r>
      <w:proofErr w:type="spellEnd"/>
      <w:r>
        <w:rPr>
          <w:color w:val="000000"/>
        </w:rPr>
        <w:t>. ¶ 22.</w:t>
      </w:r>
    </w:p>
    <w:p w14:paraId="007C694D" w14:textId="77777777" w:rsidR="00A702C3" w:rsidRDefault="00A702C3" w:rsidP="00A702C3">
      <w:pPr>
        <w:pStyle w:val="table0020grid1"/>
        <w:spacing w:before="0" w:beforeAutospacing="0" w:after="0" w:afterAutospacing="0" w:line="480" w:lineRule="auto"/>
        <w:ind w:firstLine="720"/>
        <w:rPr>
          <w:color w:val="000000"/>
        </w:rPr>
      </w:pPr>
      <w:r>
        <w:rPr>
          <w:color w:val="000000"/>
        </w:rPr>
        <w:t xml:space="preserve">On April 6, 2010, Defendant Ms. Lime came to Plaintiff’s office to pick up her payment as agreed for her work in writing, creating and authoring the screenplay “Anticipatory Repudiation.” </w:t>
      </w:r>
      <w:proofErr w:type="spellStart"/>
      <w:r>
        <w:rPr>
          <w:color w:val="000000"/>
        </w:rPr>
        <w:t>Compl</w:t>
      </w:r>
      <w:proofErr w:type="spellEnd"/>
      <w:r>
        <w:rPr>
          <w:color w:val="000000"/>
        </w:rPr>
        <w:t xml:space="preserve">. ¶ 24.  At this time, Defendant Ms. Lime signed a document titled “Work-Made-For-Hire Agreement.” </w:t>
      </w:r>
      <w:proofErr w:type="spellStart"/>
      <w:r>
        <w:rPr>
          <w:color w:val="000000"/>
        </w:rPr>
        <w:t>Compl</w:t>
      </w:r>
      <w:proofErr w:type="spellEnd"/>
      <w:r>
        <w:rPr>
          <w:color w:val="000000"/>
        </w:rPr>
        <w:t xml:space="preserve">. ¶ 25.  This document included: “I understand and agree that I have </w:t>
      </w:r>
      <w:r>
        <w:rPr>
          <w:i/>
          <w:color w:val="000000"/>
        </w:rPr>
        <w:t>prepared</w:t>
      </w:r>
      <w:r>
        <w:rPr>
          <w:color w:val="000000"/>
        </w:rPr>
        <w:t xml:space="preserve"> and the screenplay, ‘Anticipatory Repudiation,’ as a work made for hire under the federal Copyright Act of 1976. Pursuant to this law, OGS TV is the author of this </w:t>
      </w:r>
      <w:r>
        <w:rPr>
          <w:color w:val="000000"/>
        </w:rPr>
        <w:lastRenderedPageBreak/>
        <w:t xml:space="preserve">screenplay.” </w:t>
      </w:r>
      <w:proofErr w:type="spellStart"/>
      <w:r>
        <w:rPr>
          <w:color w:val="000000"/>
        </w:rPr>
        <w:t>Compl</w:t>
      </w:r>
      <w:proofErr w:type="spellEnd"/>
      <w:r>
        <w:rPr>
          <w:color w:val="000000"/>
        </w:rPr>
        <w:t>. ¶ 24. (</w:t>
      </w:r>
      <w:proofErr w:type="gramStart"/>
      <w:r>
        <w:rPr>
          <w:color w:val="000000"/>
        </w:rPr>
        <w:t>emphasis</w:t>
      </w:r>
      <w:proofErr w:type="gramEnd"/>
      <w:r>
        <w:rPr>
          <w:color w:val="000000"/>
        </w:rPr>
        <w:t xml:space="preserve"> supplied). This agreement, also signed by Nelson on April 6, 2010, followed Ms. Lime’s creation of the screenplay, “Anticipatory Repudiation.” </w:t>
      </w:r>
      <w:proofErr w:type="spellStart"/>
      <w:r>
        <w:rPr>
          <w:color w:val="000000"/>
        </w:rPr>
        <w:t>Compl</w:t>
      </w:r>
      <w:proofErr w:type="spellEnd"/>
      <w:r>
        <w:rPr>
          <w:color w:val="000000"/>
        </w:rPr>
        <w:t xml:space="preserve">. ¶25. </w:t>
      </w:r>
    </w:p>
    <w:p w14:paraId="3FE05F87" w14:textId="77777777" w:rsidR="00A702C3" w:rsidRDefault="00A702C3" w:rsidP="00A702C3">
      <w:pPr>
        <w:pStyle w:val="table0020grid1"/>
        <w:spacing w:before="0" w:beforeAutospacing="0" w:after="0" w:afterAutospacing="0" w:line="480" w:lineRule="auto"/>
        <w:ind w:firstLine="720"/>
        <w:rPr>
          <w:color w:val="000000"/>
        </w:rPr>
      </w:pPr>
      <w:r>
        <w:rPr>
          <w:color w:val="000000"/>
        </w:rPr>
        <w:t xml:space="preserve">Plaintiff did not use the screenplay “Anticipatory Repudiation” as an episode of </w:t>
      </w:r>
      <w:r>
        <w:rPr>
          <w:i/>
          <w:color w:val="000000"/>
        </w:rPr>
        <w:t>Lawless Love</w:t>
      </w:r>
      <w:r>
        <w:rPr>
          <w:color w:val="000000"/>
        </w:rPr>
        <w:t xml:space="preserve">. </w:t>
      </w:r>
      <w:proofErr w:type="spellStart"/>
      <w:r>
        <w:rPr>
          <w:color w:val="000000"/>
        </w:rPr>
        <w:t>Compl</w:t>
      </w:r>
      <w:proofErr w:type="spellEnd"/>
      <w:r>
        <w:rPr>
          <w:color w:val="000000"/>
        </w:rPr>
        <w:t xml:space="preserve">. ¶ 26.  Defendant Ms. Lime became aware of this fact after a telephone conversation with Plaintiff on June 1, 2010.  </w:t>
      </w:r>
      <w:r>
        <w:rPr>
          <w:i/>
          <w:color w:val="000000"/>
        </w:rPr>
        <w:t>Id</w:t>
      </w:r>
      <w:r>
        <w:rPr>
          <w:color w:val="000000"/>
        </w:rPr>
        <w:t xml:space="preserve">.  Several months later, Defendants produced a screenplay entitled “The Love Below” for the pilot episode of the television series, </w:t>
      </w:r>
      <w:r>
        <w:rPr>
          <w:i/>
          <w:color w:val="000000"/>
        </w:rPr>
        <w:t>The Tin Can</w:t>
      </w:r>
      <w:r>
        <w:rPr>
          <w:color w:val="000000"/>
        </w:rPr>
        <w:t xml:space="preserve">.  </w:t>
      </w:r>
      <w:proofErr w:type="spellStart"/>
      <w:r>
        <w:rPr>
          <w:color w:val="000000"/>
        </w:rPr>
        <w:t>Compl</w:t>
      </w:r>
      <w:proofErr w:type="spellEnd"/>
      <w:r>
        <w:rPr>
          <w:color w:val="000000"/>
        </w:rPr>
        <w:t xml:space="preserve">. ¶ 28.  This screenplay was performed and broadcasted on Tiny TV’s cable television channel on September 7, 2010. </w:t>
      </w:r>
      <w:proofErr w:type="spellStart"/>
      <w:r>
        <w:rPr>
          <w:color w:val="000000"/>
        </w:rPr>
        <w:t>Compl</w:t>
      </w:r>
      <w:proofErr w:type="spellEnd"/>
      <w:r>
        <w:rPr>
          <w:color w:val="000000"/>
        </w:rPr>
        <w:t xml:space="preserve">. ¶ 29.  The screenplay “The Love Below,” created by Defendant Ms. Lime, has similarities to Ms. Lime’s other screenplay creation, “Anticipatory Repudiation.” </w:t>
      </w:r>
      <w:proofErr w:type="spellStart"/>
      <w:r>
        <w:rPr>
          <w:color w:val="000000"/>
        </w:rPr>
        <w:t>Compl</w:t>
      </w:r>
      <w:proofErr w:type="spellEnd"/>
      <w:r>
        <w:rPr>
          <w:color w:val="000000"/>
        </w:rPr>
        <w:t xml:space="preserve">. ¶ 31.  The setting and premise of the show in the screenplay “The Love Below” are different than in “Anticipatory Repudiation,” the other screenplay Ms. Lime wrote. </w:t>
      </w:r>
      <w:r>
        <w:rPr>
          <w:i/>
          <w:color w:val="000000"/>
        </w:rPr>
        <w:t>Id</w:t>
      </w:r>
      <w:r>
        <w:rPr>
          <w:color w:val="000000"/>
        </w:rPr>
        <w:t xml:space="preserve">.  Likewise, the names of the characters and the occupations of the characters in the screenplay “The Love Below” are also all different from those in “Anticipatory Repudiation.”  </w:t>
      </w:r>
      <w:r>
        <w:rPr>
          <w:i/>
          <w:color w:val="000000"/>
        </w:rPr>
        <w:t>Id</w:t>
      </w:r>
      <w:r>
        <w:rPr>
          <w:color w:val="000000"/>
        </w:rPr>
        <w:t>.</w:t>
      </w:r>
    </w:p>
    <w:p w14:paraId="1DBD8C7F" w14:textId="77777777" w:rsidR="00A702C3" w:rsidRDefault="00A702C3" w:rsidP="00A702C3">
      <w:pPr>
        <w:pStyle w:val="table0020grid1"/>
        <w:spacing w:before="0" w:beforeAutospacing="0" w:after="0" w:afterAutospacing="0" w:line="480" w:lineRule="auto"/>
        <w:ind w:firstLine="720"/>
        <w:rPr>
          <w:color w:val="000000"/>
        </w:rPr>
      </w:pPr>
      <w:r>
        <w:rPr>
          <w:color w:val="000000"/>
        </w:rPr>
        <w:t xml:space="preserve">Defendants learned on September 15, 2010 of Plaintiff’s claim that they allegedly infringed on Plaintiff’s alleged copyright under the Copyright Act of 1976.  </w:t>
      </w:r>
      <w:proofErr w:type="spellStart"/>
      <w:r>
        <w:rPr>
          <w:color w:val="000000"/>
        </w:rPr>
        <w:t>Compl</w:t>
      </w:r>
      <w:proofErr w:type="spellEnd"/>
      <w:r>
        <w:rPr>
          <w:color w:val="000000"/>
        </w:rPr>
        <w:t>. ¶ 33.</w:t>
      </w:r>
    </w:p>
    <w:p w14:paraId="0BC3A9E6" w14:textId="77777777" w:rsidR="00A702C3" w:rsidRDefault="00A702C3" w:rsidP="00A702C3">
      <w:pPr>
        <w:pStyle w:val="table0020grid1"/>
        <w:spacing w:before="0" w:beforeAutospacing="0" w:after="0" w:afterAutospacing="0" w:line="480" w:lineRule="auto"/>
        <w:jc w:val="center"/>
        <w:rPr>
          <w:color w:val="000000"/>
        </w:rPr>
      </w:pPr>
      <w:r>
        <w:rPr>
          <w:b/>
          <w:color w:val="000000"/>
          <w:u w:val="single"/>
        </w:rPr>
        <w:t>ARGUMENT</w:t>
      </w:r>
    </w:p>
    <w:p w14:paraId="6C599426" w14:textId="77777777" w:rsidR="00A702C3" w:rsidRDefault="00A702C3" w:rsidP="00A702C3">
      <w:pPr>
        <w:pStyle w:val="table0020grid1"/>
        <w:spacing w:before="0" w:beforeAutospacing="0" w:after="0" w:afterAutospacing="0"/>
        <w:rPr>
          <w:b/>
          <w:color w:val="000000"/>
        </w:rPr>
      </w:pPr>
      <w:r>
        <w:rPr>
          <w:b/>
          <w:color w:val="000000"/>
        </w:rPr>
        <w:t>THE COURT SHOULD GRANT DEFENDANTS’ MOTION TO DISMISS BECAUSE PLAINTIFF’S COMPLAINT DOES NOT ALLEGE A “WORK MADE FOR HIRE” UNDER THE COPYRIGHT ACT.</w:t>
      </w:r>
    </w:p>
    <w:p w14:paraId="43956D77" w14:textId="77777777" w:rsidR="00A702C3" w:rsidRDefault="00A702C3" w:rsidP="00A702C3">
      <w:pPr>
        <w:pStyle w:val="table0020grid1"/>
        <w:spacing w:before="0" w:beforeAutospacing="0" w:after="0" w:afterAutospacing="0"/>
        <w:ind w:firstLine="720"/>
        <w:rPr>
          <w:color w:val="000000"/>
        </w:rPr>
      </w:pPr>
    </w:p>
    <w:p w14:paraId="56954B37" w14:textId="77777777" w:rsidR="00A702C3" w:rsidRDefault="00A702C3" w:rsidP="00A702C3">
      <w:pPr>
        <w:pStyle w:val="table0020grid1"/>
        <w:spacing w:before="0" w:beforeAutospacing="0" w:after="0" w:afterAutospacing="0" w:line="480" w:lineRule="auto"/>
        <w:ind w:firstLine="720"/>
        <w:rPr>
          <w:color w:val="000000"/>
        </w:rPr>
      </w:pPr>
      <w:r>
        <w:rPr>
          <w:color w:val="000000"/>
        </w:rPr>
        <w:t xml:space="preserve">Congress enacted and revised §101 in order to balance the interests of both authors and commissioners of “Works Made for Hire” and to protect respective parties from entering into unclear agreements.  </w:t>
      </w:r>
      <w:proofErr w:type="gramStart"/>
      <w:r w:rsidR="005C0989">
        <w:rPr>
          <w:color w:val="000000"/>
        </w:rPr>
        <w:t xml:space="preserve">Staff of H. </w:t>
      </w:r>
      <w:proofErr w:type="spellStart"/>
      <w:r w:rsidR="005C0989">
        <w:rPr>
          <w:color w:val="000000"/>
        </w:rPr>
        <w:t>Subcomm</w:t>
      </w:r>
      <w:proofErr w:type="spellEnd"/>
      <w:r w:rsidR="005C0989">
        <w:rPr>
          <w:color w:val="000000"/>
        </w:rPr>
        <w:t>.</w:t>
      </w:r>
      <w:proofErr w:type="gramEnd"/>
      <w:r w:rsidR="005C0989">
        <w:rPr>
          <w:color w:val="000000"/>
        </w:rPr>
        <w:t xml:space="preserve"> on Courts, Civil Liberties, and Administration of Justice Comm. on the Judiciary, 94th Cong., Rep. on General Revision of Copyright Law, 300 </w:t>
      </w:r>
      <w:r w:rsidR="005C0989">
        <w:rPr>
          <w:color w:val="000000"/>
        </w:rPr>
        <w:lastRenderedPageBreak/>
        <w:t xml:space="preserve">(Comm. Print 1975) [hereinafter </w:t>
      </w:r>
      <w:r w:rsidR="005C0989">
        <w:rPr>
          <w:i/>
          <w:color w:val="000000"/>
        </w:rPr>
        <w:t>Second General Revision</w:t>
      </w:r>
      <w:r w:rsidR="005C0989">
        <w:rPr>
          <w:color w:val="000000"/>
        </w:rPr>
        <w:t>).</w:t>
      </w:r>
      <w:r w:rsidR="005C0989">
        <w:rPr>
          <w:i/>
          <w:color w:val="000000"/>
        </w:rPr>
        <w:t xml:space="preserve">  </w:t>
      </w:r>
      <w:r>
        <w:rPr>
          <w:color w:val="000000"/>
        </w:rPr>
        <w:t>The relevant provision for this case is 17 U.S.C. §101(2) which provides,</w:t>
      </w:r>
    </w:p>
    <w:p w14:paraId="387366C8" w14:textId="77777777" w:rsidR="00A702C3" w:rsidRDefault="00A702C3" w:rsidP="00A702C3">
      <w:pPr>
        <w:pStyle w:val="table0020grid1"/>
        <w:spacing w:before="0" w:beforeAutospacing="0" w:after="0" w:afterAutospacing="0"/>
        <w:ind w:left="360" w:firstLine="360"/>
      </w:pPr>
      <w:r w:rsidRPr="001C781F">
        <w:t>A ‘work made for hire’ is… a work specially ordered or commissioned for use as a contribution to a collective work, as a part of a motion picture or other audiovisual work…if the parties expressly agree in a written instrument signed by them that the work shall be c</w:t>
      </w:r>
      <w:r>
        <w:t>onsidered a work made for hire.</w:t>
      </w:r>
    </w:p>
    <w:p w14:paraId="3E3ACC6A" w14:textId="77777777" w:rsidR="00A702C3" w:rsidRDefault="00A702C3" w:rsidP="00A702C3">
      <w:pPr>
        <w:pStyle w:val="table0020grid1"/>
        <w:spacing w:before="0" w:beforeAutospacing="0" w:after="0" w:afterAutospacing="0"/>
        <w:ind w:left="360" w:firstLine="360"/>
        <w:rPr>
          <w:rStyle w:val="apple-style-span"/>
          <w:color w:val="000000"/>
          <w:shd w:val="clear" w:color="auto" w:fill="FFFFFF"/>
        </w:rPr>
      </w:pPr>
    </w:p>
    <w:p w14:paraId="70C0DC77" w14:textId="77777777" w:rsidR="00A702C3" w:rsidRDefault="00A702C3" w:rsidP="00A702C3">
      <w:pPr>
        <w:pStyle w:val="table0020grid1"/>
        <w:spacing w:before="0" w:beforeAutospacing="0" w:after="0" w:afterAutospacing="0" w:line="480" w:lineRule="auto"/>
        <w:rPr>
          <w:rStyle w:val="apple-style-span"/>
          <w:color w:val="000000"/>
          <w:shd w:val="clear" w:color="auto" w:fill="FFFFFF"/>
        </w:rPr>
      </w:pPr>
      <w:r>
        <w:rPr>
          <w:rStyle w:val="apple-style-span"/>
          <w:color w:val="000000"/>
          <w:shd w:val="clear" w:color="auto" w:fill="FFFFFF"/>
        </w:rPr>
        <w:tab/>
      </w:r>
      <w:proofErr w:type="gramStart"/>
      <w:r w:rsidRPr="001C781F">
        <w:t>17 U</w:t>
      </w:r>
      <w:r>
        <w:t>.</w:t>
      </w:r>
      <w:r w:rsidRPr="001C781F">
        <w:t>S</w:t>
      </w:r>
      <w:r>
        <w:t>.</w:t>
      </w:r>
      <w:r w:rsidRPr="001C781F">
        <w:t>C</w:t>
      </w:r>
      <w:r>
        <w:t>.</w:t>
      </w:r>
      <w:r w:rsidRPr="001C781F">
        <w:t xml:space="preserve"> §101(2).</w:t>
      </w:r>
      <w:proofErr w:type="gramEnd"/>
      <w:r>
        <w:t xml:space="preserve">  </w:t>
      </w:r>
      <w:r>
        <w:rPr>
          <w:rStyle w:val="apple-style-span"/>
          <w:color w:val="000000"/>
          <w:shd w:val="clear" w:color="auto" w:fill="FFFFFF"/>
        </w:rPr>
        <w:t xml:space="preserve">The </w:t>
      </w:r>
      <w:r w:rsidR="00854954">
        <w:rPr>
          <w:rStyle w:val="apple-style-span"/>
          <w:color w:val="000000"/>
          <w:shd w:val="clear" w:color="auto" w:fill="FFFFFF"/>
        </w:rPr>
        <w:t>motion to dis</w:t>
      </w:r>
      <w:r w:rsidR="009F3437">
        <w:rPr>
          <w:rStyle w:val="apple-style-span"/>
          <w:color w:val="000000"/>
          <w:shd w:val="clear" w:color="auto" w:fill="FFFFFF"/>
        </w:rPr>
        <w:t xml:space="preserve">miss must be granted because </w:t>
      </w:r>
      <w:r w:rsidR="00854954">
        <w:rPr>
          <w:rStyle w:val="apple-style-span"/>
          <w:color w:val="000000"/>
          <w:shd w:val="clear" w:color="auto" w:fill="FFFFFF"/>
        </w:rPr>
        <w:t>Pla</w:t>
      </w:r>
      <w:r>
        <w:rPr>
          <w:rStyle w:val="apple-style-span"/>
          <w:color w:val="000000"/>
          <w:shd w:val="clear" w:color="auto" w:fill="FFFFFF"/>
        </w:rPr>
        <w:t xml:space="preserve">intiff </w:t>
      </w:r>
      <w:r w:rsidR="00854954">
        <w:rPr>
          <w:rStyle w:val="apple-style-span"/>
          <w:color w:val="000000"/>
          <w:shd w:val="clear" w:color="auto" w:fill="FFFFFF"/>
        </w:rPr>
        <w:t xml:space="preserve">has not </w:t>
      </w:r>
      <w:r>
        <w:rPr>
          <w:rStyle w:val="apple-style-span"/>
          <w:color w:val="000000"/>
          <w:shd w:val="clear" w:color="auto" w:fill="FFFFFF"/>
        </w:rPr>
        <w:t>alleged a “Work Made for Hire” within t</w:t>
      </w:r>
      <w:r w:rsidR="00854954">
        <w:rPr>
          <w:rStyle w:val="apple-style-span"/>
          <w:color w:val="000000"/>
          <w:shd w:val="clear" w:color="auto" w:fill="FFFFFF"/>
        </w:rPr>
        <w:t>he meaning of the Copyright Act.</w:t>
      </w:r>
    </w:p>
    <w:p w14:paraId="31D6B8E4" w14:textId="77777777" w:rsidR="00A702C3" w:rsidRDefault="00A702C3" w:rsidP="00A702C3">
      <w:pPr>
        <w:pStyle w:val="table0020grid1"/>
        <w:numPr>
          <w:ilvl w:val="0"/>
          <w:numId w:val="1"/>
        </w:numPr>
        <w:spacing w:before="0" w:beforeAutospacing="0" w:after="0" w:afterAutospacing="0" w:line="480" w:lineRule="auto"/>
        <w:rPr>
          <w:b/>
          <w:color w:val="000000"/>
        </w:rPr>
      </w:pPr>
      <w:r>
        <w:rPr>
          <w:b/>
          <w:color w:val="000000"/>
        </w:rPr>
        <w:t>Standard of Review</w:t>
      </w:r>
    </w:p>
    <w:p w14:paraId="157FDFD1" w14:textId="77777777" w:rsidR="00A702C3" w:rsidRDefault="00A702C3" w:rsidP="00A702C3">
      <w:pPr>
        <w:pStyle w:val="table0020grid1"/>
        <w:spacing w:before="0" w:beforeAutospacing="0" w:after="0" w:afterAutospacing="0" w:line="480" w:lineRule="auto"/>
        <w:ind w:firstLine="720"/>
        <w:rPr>
          <w:rStyle w:val="apple-style-span"/>
          <w:color w:val="000000"/>
          <w:shd w:val="clear" w:color="auto" w:fill="FFFFFF"/>
        </w:rPr>
      </w:pPr>
      <w:r w:rsidRPr="007F6E77">
        <w:rPr>
          <w:color w:val="000000"/>
        </w:rPr>
        <w:t xml:space="preserve">The Court should </w:t>
      </w:r>
      <w:r>
        <w:rPr>
          <w:color w:val="000000"/>
        </w:rPr>
        <w:t>dismiss the Complaint</w:t>
      </w:r>
      <w:r w:rsidRPr="007F6E77">
        <w:rPr>
          <w:color w:val="000000"/>
        </w:rPr>
        <w:t xml:space="preserve"> because Plaintiff </w:t>
      </w:r>
      <w:r>
        <w:rPr>
          <w:color w:val="000000"/>
        </w:rPr>
        <w:t>has not made a valid claim for which relief can be granted.  In order to survive a Federal Rule of Civil Procedure 12(b)(6) Motion to Dismiss, the Plaintiff’s “[</w:t>
      </w:r>
      <w:proofErr w:type="gramStart"/>
      <w:r>
        <w:rPr>
          <w:color w:val="000000"/>
        </w:rPr>
        <w:t>f]actual</w:t>
      </w:r>
      <w:proofErr w:type="gramEnd"/>
      <w:r>
        <w:rPr>
          <w:color w:val="000000"/>
        </w:rPr>
        <w:t xml:space="preserve"> allegations must be enough to raise a right to relief above the speculative level.” </w:t>
      </w:r>
      <w:r>
        <w:rPr>
          <w:i/>
        </w:rPr>
        <w:t xml:space="preserve">Bell Atlantic Corp. v. </w:t>
      </w:r>
      <w:proofErr w:type="spellStart"/>
      <w:r>
        <w:rPr>
          <w:i/>
        </w:rPr>
        <w:t>Twombly</w:t>
      </w:r>
      <w:proofErr w:type="spellEnd"/>
      <w:r>
        <w:t xml:space="preserve">, 550 U.S. 554, 545 (2007).  The Complaint’s allegations must </w:t>
      </w:r>
      <w:r>
        <w:rPr>
          <w:rStyle w:val="apple-style-span"/>
          <w:color w:val="000000"/>
          <w:shd w:val="clear" w:color="auto" w:fill="FFFFFF"/>
        </w:rPr>
        <w:t>“</w:t>
      </w:r>
      <w:r w:rsidRPr="00240DD2">
        <w:rPr>
          <w:rStyle w:val="apple-style-span"/>
          <w:color w:val="000000"/>
          <w:shd w:val="clear" w:color="auto" w:fill="FFFFFF"/>
        </w:rPr>
        <w:t xml:space="preserve">contain sufficient factual matter, accepted as true, to </w:t>
      </w:r>
      <w:r>
        <w:rPr>
          <w:rStyle w:val="apple-style-span"/>
          <w:color w:val="000000"/>
          <w:shd w:val="clear" w:color="auto" w:fill="FFFFFF"/>
        </w:rPr>
        <w:t>‘</w:t>
      </w:r>
      <w:r w:rsidRPr="00240DD2">
        <w:rPr>
          <w:rStyle w:val="apple-style-span"/>
          <w:color w:val="000000"/>
          <w:shd w:val="clear" w:color="auto" w:fill="FFFFFF"/>
        </w:rPr>
        <w:t>state a claim to relief that is plausible on its face</w:t>
      </w:r>
      <w:r>
        <w:rPr>
          <w:rStyle w:val="apple-style-span"/>
          <w:color w:val="000000"/>
          <w:shd w:val="clear" w:color="auto" w:fill="FFFFFF"/>
        </w:rPr>
        <w:t xml:space="preserve">.’”  </w:t>
      </w:r>
      <w:r>
        <w:rPr>
          <w:rStyle w:val="apple-style-span"/>
          <w:i/>
          <w:color w:val="000000"/>
          <w:shd w:val="clear" w:color="auto" w:fill="FFFFFF"/>
        </w:rPr>
        <w:t xml:space="preserve">Ashcroft v. </w:t>
      </w:r>
      <w:proofErr w:type="spellStart"/>
      <w:r>
        <w:rPr>
          <w:rStyle w:val="apple-style-span"/>
          <w:i/>
          <w:color w:val="000000"/>
          <w:shd w:val="clear" w:color="auto" w:fill="FFFFFF"/>
        </w:rPr>
        <w:t>Iqbal</w:t>
      </w:r>
      <w:proofErr w:type="spellEnd"/>
      <w:r>
        <w:rPr>
          <w:rStyle w:val="apple-style-span"/>
          <w:color w:val="000000"/>
          <w:shd w:val="clear" w:color="auto" w:fill="FFFFFF"/>
        </w:rPr>
        <w:t xml:space="preserve">, </w:t>
      </w:r>
      <w:r w:rsidRPr="0019670D">
        <w:rPr>
          <w:rStyle w:val="apple-style-span"/>
          <w:color w:val="000000"/>
          <w:shd w:val="clear" w:color="auto" w:fill="FFFFFF"/>
        </w:rPr>
        <w:t xml:space="preserve">129 </w:t>
      </w:r>
      <w:proofErr w:type="spellStart"/>
      <w:r w:rsidRPr="0019670D">
        <w:rPr>
          <w:rStyle w:val="apple-style-span"/>
          <w:color w:val="000000"/>
          <w:shd w:val="clear" w:color="auto" w:fill="FFFFFF"/>
        </w:rPr>
        <w:t>S.Ct</w:t>
      </w:r>
      <w:proofErr w:type="spellEnd"/>
      <w:r w:rsidRPr="0019670D">
        <w:rPr>
          <w:rStyle w:val="apple-style-span"/>
          <w:color w:val="000000"/>
          <w:shd w:val="clear" w:color="auto" w:fill="FFFFFF"/>
        </w:rPr>
        <w:t>. 1937</w:t>
      </w:r>
      <w:r>
        <w:rPr>
          <w:rStyle w:val="apple-style-span"/>
          <w:color w:val="000000"/>
          <w:shd w:val="clear" w:color="auto" w:fill="FFFFFF"/>
        </w:rPr>
        <w:t>, 1949</w:t>
      </w:r>
      <w:r w:rsidRPr="0019670D">
        <w:rPr>
          <w:rStyle w:val="apple-style-span"/>
          <w:color w:val="000000"/>
          <w:shd w:val="clear" w:color="auto" w:fill="FFFFFF"/>
        </w:rPr>
        <w:t xml:space="preserve"> (2009</w:t>
      </w:r>
      <w:r>
        <w:rPr>
          <w:rStyle w:val="apple-style-span"/>
          <w:color w:val="000000"/>
          <w:shd w:val="clear" w:color="auto" w:fill="FFFFFF"/>
        </w:rPr>
        <w:t xml:space="preserve">) (quoting </w:t>
      </w:r>
      <w:proofErr w:type="spellStart"/>
      <w:r>
        <w:rPr>
          <w:rStyle w:val="apple-style-span"/>
          <w:i/>
          <w:color w:val="000000"/>
          <w:shd w:val="clear" w:color="auto" w:fill="FFFFFF"/>
        </w:rPr>
        <w:t>Twombly</w:t>
      </w:r>
      <w:proofErr w:type="spellEnd"/>
      <w:r>
        <w:rPr>
          <w:rStyle w:val="apple-style-span"/>
          <w:i/>
          <w:color w:val="000000"/>
          <w:shd w:val="clear" w:color="auto" w:fill="FFFFFF"/>
        </w:rPr>
        <w:t>, 550 U.S.</w:t>
      </w:r>
      <w:r>
        <w:rPr>
          <w:rStyle w:val="apple-style-span"/>
          <w:color w:val="000000"/>
          <w:shd w:val="clear" w:color="auto" w:fill="FFFFFF"/>
        </w:rPr>
        <w:t xml:space="preserve"> at 570).    To determine if the Plaintiff is entitled to relief based on the factual allegations, the Court must also “construe the complaint in the light most favorable to the Plaintiff.”  </w:t>
      </w:r>
      <w:r w:rsidRPr="005454D7">
        <w:rPr>
          <w:rStyle w:val="apple-style-span"/>
          <w:i/>
          <w:color w:val="000000"/>
          <w:shd w:val="clear" w:color="auto" w:fill="FFFFFF"/>
        </w:rPr>
        <w:t>Phillips v. County of Allegheny</w:t>
      </w:r>
      <w:r w:rsidRPr="0050325B">
        <w:rPr>
          <w:rStyle w:val="apple-style-span"/>
          <w:color w:val="000000"/>
          <w:shd w:val="clear" w:color="auto" w:fill="FFFFFF"/>
        </w:rPr>
        <w:t>, 515 F.3d 224, 233 (3d Cir. 2008)</w:t>
      </w:r>
      <w:r>
        <w:rPr>
          <w:rStyle w:val="apple-style-span"/>
          <w:color w:val="000000"/>
          <w:shd w:val="clear" w:color="auto" w:fill="FFFFFF"/>
        </w:rPr>
        <w:t xml:space="preserve"> (quoting </w:t>
      </w:r>
      <w:r>
        <w:rPr>
          <w:rStyle w:val="apple-style-span"/>
          <w:i/>
          <w:color w:val="000000"/>
          <w:shd w:val="clear" w:color="auto" w:fill="FFFFFF"/>
        </w:rPr>
        <w:t>Pinker v. Roche Holdings Ltd.</w:t>
      </w:r>
      <w:r>
        <w:rPr>
          <w:rStyle w:val="apple-style-span"/>
          <w:color w:val="000000"/>
          <w:shd w:val="clear" w:color="auto" w:fill="FFFFFF"/>
        </w:rPr>
        <w:t>¸ 292 F.3d 261, 374 n. 7 (3d Cir. 2002)).</w:t>
      </w:r>
    </w:p>
    <w:p w14:paraId="65BA185C" w14:textId="77777777" w:rsidR="00A702C3" w:rsidRPr="00A92E88" w:rsidRDefault="00A702C3" w:rsidP="00A702C3">
      <w:pPr>
        <w:pStyle w:val="table0020grid1"/>
        <w:spacing w:before="0" w:beforeAutospacing="0" w:after="0" w:afterAutospacing="0" w:line="480" w:lineRule="auto"/>
        <w:ind w:firstLine="720"/>
        <w:rPr>
          <w:color w:val="000000"/>
        </w:rPr>
      </w:pPr>
      <w:r>
        <w:rPr>
          <w:rStyle w:val="apple-style-span"/>
          <w:color w:val="000000"/>
          <w:shd w:val="clear" w:color="auto" w:fill="FFFFFF"/>
        </w:rPr>
        <w:t xml:space="preserve">As dictated by the standard, even if Plaintiff’s allegations are viewed in the light most favorable to the Plaintiff and accepted as true, Plaintiff has not plead a valid claim for which relief can be granted.  Plaintiff and Defendant Ms. Lime did not sign a writing specifying the screenplay as a “Work Made for Hire” preceding its creation,  thus the screenplay “Anticipatory Repudiation” is not a “Work Made for Hire” within the meaning of the Copyright Act.  Therefore, Plaintiff does not own the copyright to “Anticipatory Repudiation” and is not entitled </w:t>
      </w:r>
      <w:r>
        <w:rPr>
          <w:rStyle w:val="apple-style-span"/>
          <w:color w:val="000000"/>
          <w:shd w:val="clear" w:color="auto" w:fill="FFFFFF"/>
        </w:rPr>
        <w:lastRenderedPageBreak/>
        <w:t>to relief under the Copyright Act.  The Court should grant Defendants’ Motion to Dismiss because Plaintiff has not met the requirements of the pleading standard, for Plaintiff cannot be afforded relief based on the Complaint’s factual allegations.</w:t>
      </w:r>
    </w:p>
    <w:p w14:paraId="2F456D8B" w14:textId="77777777" w:rsidR="00A702C3" w:rsidRDefault="00A702C3" w:rsidP="00A702C3">
      <w:pPr>
        <w:pStyle w:val="table0020grid1"/>
        <w:numPr>
          <w:ilvl w:val="0"/>
          <w:numId w:val="1"/>
        </w:numPr>
        <w:spacing w:before="0" w:beforeAutospacing="0" w:after="0" w:afterAutospacing="0"/>
        <w:rPr>
          <w:b/>
          <w:color w:val="000000"/>
        </w:rPr>
      </w:pPr>
      <w:r>
        <w:rPr>
          <w:b/>
          <w:color w:val="000000"/>
        </w:rPr>
        <w:t>The plain language of 17 U.S.C. §101(2) requires the Complaint to be dismissed because the writing was not signed prior to the work’s creation and therefore it is not a “Work Made for Hire” under the Copyright Act.</w:t>
      </w:r>
    </w:p>
    <w:p w14:paraId="15884B76" w14:textId="77777777" w:rsidR="00A702C3" w:rsidRDefault="00A702C3" w:rsidP="00A702C3">
      <w:pPr>
        <w:pStyle w:val="table0020grid1"/>
        <w:spacing w:before="0" w:beforeAutospacing="0" w:after="0" w:afterAutospacing="0"/>
        <w:ind w:left="720"/>
        <w:rPr>
          <w:b/>
          <w:color w:val="000000"/>
        </w:rPr>
      </w:pPr>
    </w:p>
    <w:p w14:paraId="28C398CE" w14:textId="77777777" w:rsidR="00A702C3" w:rsidRDefault="00A702C3" w:rsidP="00A702C3">
      <w:pPr>
        <w:pStyle w:val="table0020grid1"/>
        <w:spacing w:before="0" w:beforeAutospacing="0" w:after="0" w:afterAutospacing="0" w:line="480" w:lineRule="auto"/>
        <w:ind w:firstLine="360"/>
        <w:rPr>
          <w:color w:val="000000"/>
        </w:rPr>
      </w:pPr>
      <w:r>
        <w:rPr>
          <w:color w:val="000000"/>
        </w:rPr>
        <w:t xml:space="preserve"> </w:t>
      </w:r>
      <w:r>
        <w:rPr>
          <w:color w:val="000000"/>
        </w:rPr>
        <w:tab/>
        <w:t xml:space="preserve">Plaintiff has not alleged in the Complaint ownership of a copyright for a “Work Made for Hire” according to the plain language of the statute, therefore the Complaint should be dismissed.  A court must first look to the plain language used by Congress when interpreting a statute.  </w:t>
      </w:r>
      <w:r>
        <w:rPr>
          <w:i/>
          <w:color w:val="000000"/>
        </w:rPr>
        <w:t>American Tobacco Co. v. Patterson</w:t>
      </w:r>
      <w:r>
        <w:rPr>
          <w:color w:val="000000"/>
        </w:rPr>
        <w:t xml:space="preserve">, 456 U.S. 63, 68 (1982). The language of a statute must be given its plain and obvious meaning if it is unambiguous. </w:t>
      </w:r>
      <w:r>
        <w:rPr>
          <w:i/>
          <w:color w:val="000000"/>
        </w:rPr>
        <w:t>Ross v. Gore</w:t>
      </w:r>
      <w:r>
        <w:rPr>
          <w:color w:val="000000"/>
        </w:rPr>
        <w:t xml:space="preserve">, 48 So.2d 412, 415 (citing </w:t>
      </w:r>
      <w:r>
        <w:rPr>
          <w:i/>
          <w:color w:val="000000"/>
        </w:rPr>
        <w:t xml:space="preserve">A.R. Douglass, Inc., v. </w:t>
      </w:r>
      <w:proofErr w:type="spellStart"/>
      <w:r>
        <w:rPr>
          <w:i/>
          <w:color w:val="000000"/>
        </w:rPr>
        <w:t>McRainey</w:t>
      </w:r>
      <w:proofErr w:type="spellEnd"/>
      <w:r>
        <w:rPr>
          <w:color w:val="000000"/>
        </w:rPr>
        <w:t xml:space="preserve">, 102 Fla. 1141, 137 So. 157).  The plain language of a statute is entitled to a “strong presumption” of Congressional intent, rebuttable only in “rare and exceptional circumstances.  </w:t>
      </w:r>
      <w:proofErr w:type="spellStart"/>
      <w:r>
        <w:rPr>
          <w:i/>
          <w:color w:val="000000"/>
        </w:rPr>
        <w:t>Ardestani</w:t>
      </w:r>
      <w:proofErr w:type="spellEnd"/>
      <w:r>
        <w:rPr>
          <w:i/>
          <w:color w:val="000000"/>
        </w:rPr>
        <w:t xml:space="preserve"> v. I.N.S.</w:t>
      </w:r>
      <w:r>
        <w:rPr>
          <w:color w:val="000000"/>
        </w:rPr>
        <w:t xml:space="preserve">, 502 U.S. 129, 135-6 (1991) (citing </w:t>
      </w:r>
      <w:r>
        <w:rPr>
          <w:i/>
          <w:color w:val="000000"/>
        </w:rPr>
        <w:t>Rubin v. United States</w:t>
      </w:r>
      <w:r>
        <w:rPr>
          <w:color w:val="000000"/>
        </w:rPr>
        <w:t xml:space="preserve">, 449 U.S. 424, 430 (1981)).  This presumption applies unless there is “clearly expressed legislative intention” contrary to the plain language. </w:t>
      </w:r>
      <w:proofErr w:type="gramStart"/>
      <w:r>
        <w:rPr>
          <w:i/>
          <w:color w:val="000000"/>
        </w:rPr>
        <w:t xml:space="preserve">I.N.S. v. </w:t>
      </w:r>
      <w:proofErr w:type="spellStart"/>
      <w:r>
        <w:rPr>
          <w:i/>
          <w:color w:val="000000"/>
        </w:rPr>
        <w:t>Cardoza</w:t>
      </w:r>
      <w:proofErr w:type="spellEnd"/>
      <w:r>
        <w:rPr>
          <w:i/>
          <w:color w:val="000000"/>
        </w:rPr>
        <w:t>-Fonseca</w:t>
      </w:r>
      <w:r>
        <w:rPr>
          <w:color w:val="000000"/>
        </w:rPr>
        <w:t>, 480 U.S. 421, 432 n. 12 (1987).</w:t>
      </w:r>
      <w:proofErr w:type="gramEnd"/>
    </w:p>
    <w:p w14:paraId="72C9CD62" w14:textId="77777777" w:rsidR="00A702C3" w:rsidRDefault="00A702C3" w:rsidP="00A702C3">
      <w:pPr>
        <w:pStyle w:val="table0020grid1"/>
        <w:spacing w:before="0" w:beforeAutospacing="0" w:after="0" w:afterAutospacing="0" w:line="480" w:lineRule="auto"/>
        <w:ind w:firstLine="360"/>
        <w:rPr>
          <w:color w:val="000000"/>
        </w:rPr>
      </w:pPr>
      <w:r>
        <w:rPr>
          <w:color w:val="000000"/>
        </w:rPr>
        <w:tab/>
        <w:t>In this case, the screenplay “Anticipatory Repudiation” does not fall within the definition of a “Work Made for Hire.”  The plain language of §201(a) provides, “</w:t>
      </w:r>
      <w:r w:rsidRPr="00EB7664">
        <w:t>Copyright in a work protected under this title vests initially in the author or authors of the work.</w:t>
      </w:r>
      <w:r>
        <w:t xml:space="preserve">” </w:t>
      </w:r>
      <w:proofErr w:type="gramStart"/>
      <w:r>
        <w:t>17 U.S.C. §201(a).</w:t>
      </w:r>
      <w:proofErr w:type="gramEnd"/>
      <w:r>
        <w:t xml:space="preserve">  Ownership of a copyright only shifts to the commissioner if there is a signed writing prior to the creation, as dictated by the language in §101(2).  The language of </w:t>
      </w:r>
      <w:r>
        <w:rPr>
          <w:color w:val="000000"/>
        </w:rPr>
        <w:t>§101(2) requires that “…</w:t>
      </w:r>
      <w:r w:rsidRPr="001C781F">
        <w:t>the parties expressly agree in a written instrument signed by them that the work</w:t>
      </w:r>
      <w:r>
        <w:rPr>
          <w:i/>
          <w:color w:val="000000"/>
        </w:rPr>
        <w:t xml:space="preserve"> shall be </w:t>
      </w:r>
      <w:r w:rsidRPr="001C1980">
        <w:rPr>
          <w:color w:val="000000"/>
        </w:rPr>
        <w:t>considered</w:t>
      </w:r>
      <w:r>
        <w:rPr>
          <w:color w:val="000000"/>
        </w:rPr>
        <w:t xml:space="preserve"> a work made for hire</w:t>
      </w:r>
      <w:r w:rsidRPr="001C1980">
        <w:rPr>
          <w:color w:val="000000"/>
        </w:rPr>
        <w:t>.</w:t>
      </w:r>
      <w:r>
        <w:rPr>
          <w:color w:val="000000"/>
        </w:rPr>
        <w:t>” (</w:t>
      </w:r>
      <w:proofErr w:type="gramStart"/>
      <w:r>
        <w:rPr>
          <w:color w:val="000000"/>
        </w:rPr>
        <w:t>emphasis</w:t>
      </w:r>
      <w:proofErr w:type="gramEnd"/>
      <w:r>
        <w:rPr>
          <w:color w:val="000000"/>
        </w:rPr>
        <w:t xml:space="preserve"> supplied).  In this context, the insertion of “shall be” has a future </w:t>
      </w:r>
      <w:r>
        <w:rPr>
          <w:color w:val="000000"/>
        </w:rPr>
        <w:lastRenderedPageBreak/>
        <w:t xml:space="preserve">implication in accordance with its ordinary meaning. </w:t>
      </w:r>
      <w:r>
        <w:rPr>
          <w:i/>
          <w:color w:val="000000"/>
        </w:rPr>
        <w:t xml:space="preserve"> Barnhart v. Peabody Coal Co.</w:t>
      </w:r>
      <w:r>
        <w:rPr>
          <w:color w:val="000000"/>
        </w:rPr>
        <w:t xml:space="preserve">, 537 U.S. 149, 184-5 (2003) (quoting the </w:t>
      </w:r>
      <w:r>
        <w:rPr>
          <w:i/>
          <w:color w:val="000000"/>
        </w:rPr>
        <w:t xml:space="preserve">American Heritage Dictionary </w:t>
      </w:r>
      <w:r>
        <w:rPr>
          <w:color w:val="000000"/>
        </w:rPr>
        <w:t>1598 (4th ed.2000) (defining “shall” as (</w:t>
      </w:r>
      <w:proofErr w:type="gramStart"/>
      <w:r>
        <w:rPr>
          <w:color w:val="000000"/>
        </w:rPr>
        <w:t>1)a</w:t>
      </w:r>
      <w:proofErr w:type="gramEnd"/>
      <w:r>
        <w:rPr>
          <w:color w:val="000000"/>
        </w:rPr>
        <w:t xml:space="preserve">. “Something that will take place or exist in the future…”)) (Thomas, J., dissenting).  Likewise, “if Congress desires for this Court to give ‘shall’ a </w:t>
      </w:r>
      <w:proofErr w:type="spellStart"/>
      <w:r>
        <w:rPr>
          <w:color w:val="000000"/>
        </w:rPr>
        <w:t>nonmandatory</w:t>
      </w:r>
      <w:proofErr w:type="spellEnd"/>
      <w:r>
        <w:rPr>
          <w:color w:val="000000"/>
        </w:rPr>
        <w:t xml:space="preserve"> meaning, it must say so explicitly.” </w:t>
      </w:r>
      <w:r>
        <w:rPr>
          <w:i/>
          <w:color w:val="000000"/>
        </w:rPr>
        <w:t>Barnhart</w:t>
      </w:r>
      <w:r>
        <w:rPr>
          <w:color w:val="000000"/>
        </w:rPr>
        <w:t xml:space="preserve">, 537 U.S. at 184-5. (Thomas, J., </w:t>
      </w:r>
      <w:proofErr w:type="gramStart"/>
      <w:r>
        <w:rPr>
          <w:color w:val="000000"/>
        </w:rPr>
        <w:t>dissenting)</w:t>
      </w:r>
      <w:proofErr w:type="gramEnd"/>
      <w:r>
        <w:rPr>
          <w:color w:val="000000"/>
        </w:rPr>
        <w:t>.  Thus, in order for Defendant’s specially commissioned screenplay to qualify as a “Work Made for Hire” within the plain language of §101(2), it must have been signed prior to the creation of the work itself.</w:t>
      </w:r>
    </w:p>
    <w:p w14:paraId="42D90B6F" w14:textId="77777777" w:rsidR="00A702C3" w:rsidRDefault="00A702C3" w:rsidP="00A702C3">
      <w:pPr>
        <w:pStyle w:val="table0020grid1"/>
        <w:spacing w:before="0" w:beforeAutospacing="0" w:after="0" w:afterAutospacing="0" w:line="480" w:lineRule="auto"/>
        <w:ind w:firstLine="720"/>
        <w:rPr>
          <w:color w:val="000000"/>
        </w:rPr>
      </w:pPr>
      <w:r>
        <w:rPr>
          <w:color w:val="000000"/>
        </w:rPr>
        <w:t xml:space="preserve">Plaintiff’s Complaint alleges, however, the express written agreement was signed by both parties </w:t>
      </w:r>
      <w:r w:rsidRPr="00197B95">
        <w:rPr>
          <w:i/>
          <w:color w:val="000000"/>
        </w:rPr>
        <w:t>after</w:t>
      </w:r>
      <w:r>
        <w:rPr>
          <w:color w:val="000000"/>
        </w:rPr>
        <w:t xml:space="preserve"> creation and submission of the work. </w:t>
      </w:r>
      <w:proofErr w:type="spellStart"/>
      <w:r>
        <w:rPr>
          <w:color w:val="000000"/>
        </w:rPr>
        <w:t>Compl</w:t>
      </w:r>
      <w:proofErr w:type="spellEnd"/>
      <w:r>
        <w:rPr>
          <w:color w:val="000000"/>
        </w:rPr>
        <w:t xml:space="preserve">. </w:t>
      </w:r>
      <w:proofErr w:type="gramStart"/>
      <w:r>
        <w:rPr>
          <w:color w:val="000000"/>
        </w:rPr>
        <w:t>¶¶ 21, 24, 25.</w:t>
      </w:r>
      <w:proofErr w:type="gramEnd"/>
      <w:r>
        <w:rPr>
          <w:color w:val="000000"/>
        </w:rPr>
        <w:t xml:space="preserve">  In addition, nothing in the Copyright Act’s definition of a “Work Made for Hire” explicitly states Congressional intent not to follow the plain meaning of “shall be.”  Therefore, Defendant’s screenplay “Anticipatory Repudiation” is not and never was a “Work Made for Hire” within the plain meaning of §101(2).  Defendant remains the author and owner of the screenplay in accordance with §201(a).  Plaintiff did not allege ownership of a copyright to a “Work Made for Hire” based on the plain language of the statute, thus the Complaint must be dismissed.</w:t>
      </w:r>
    </w:p>
    <w:p w14:paraId="1B986B48" w14:textId="77777777" w:rsidR="00A702C3" w:rsidRDefault="00A702C3" w:rsidP="00A702C3">
      <w:pPr>
        <w:pStyle w:val="table0020grid1"/>
        <w:numPr>
          <w:ilvl w:val="0"/>
          <w:numId w:val="1"/>
        </w:numPr>
        <w:spacing w:before="0" w:beforeAutospacing="0" w:after="0" w:afterAutospacing="0"/>
        <w:rPr>
          <w:b/>
          <w:color w:val="000000"/>
        </w:rPr>
      </w:pPr>
      <w:r>
        <w:rPr>
          <w:b/>
          <w:color w:val="000000"/>
        </w:rPr>
        <w:t>Legislative history demands the Complaint be dismissed because it does not allege a “Work Made for Hire” as intended by Congress to be protected under the Copyright Act.</w:t>
      </w:r>
    </w:p>
    <w:p w14:paraId="41586759" w14:textId="77777777" w:rsidR="00A702C3" w:rsidRPr="00DC76FD" w:rsidRDefault="00A702C3" w:rsidP="00A702C3">
      <w:pPr>
        <w:pStyle w:val="table0020grid1"/>
        <w:spacing w:before="0" w:beforeAutospacing="0" w:after="0" w:afterAutospacing="0"/>
        <w:ind w:left="720"/>
        <w:rPr>
          <w:b/>
          <w:color w:val="000000"/>
        </w:rPr>
      </w:pPr>
    </w:p>
    <w:p w14:paraId="77819207" w14:textId="77777777" w:rsidR="00A702C3" w:rsidRDefault="00A702C3" w:rsidP="00A702C3">
      <w:pPr>
        <w:pStyle w:val="table0020grid1"/>
        <w:spacing w:before="0" w:beforeAutospacing="0" w:after="0" w:afterAutospacing="0" w:line="480" w:lineRule="auto"/>
        <w:ind w:firstLine="720"/>
        <w:rPr>
          <w:color w:val="000000"/>
        </w:rPr>
      </w:pPr>
      <w:r>
        <w:rPr>
          <w:color w:val="000000"/>
        </w:rPr>
        <w:t xml:space="preserve">Legislative attention to author protection and clarity of intellectual property rights is inconsistent with the proposition that commissioners should be allowed to execute “Work Made for Hire” agreements after an author’s work is created.  Plaintiff did not allege existence of an express written agreement signed by both parties prior to the work’s creation; rather, the Complaint alleges a written agreement several days </w:t>
      </w:r>
      <w:r>
        <w:rPr>
          <w:i/>
          <w:color w:val="000000"/>
        </w:rPr>
        <w:t>after</w:t>
      </w:r>
      <w:r>
        <w:rPr>
          <w:color w:val="000000"/>
        </w:rPr>
        <w:t xml:space="preserve"> the screenplay’s completion and </w:t>
      </w:r>
      <w:r>
        <w:rPr>
          <w:color w:val="000000"/>
        </w:rPr>
        <w:lastRenderedPageBreak/>
        <w:t>submission.</w:t>
      </w:r>
      <w:r>
        <w:rPr>
          <w:i/>
          <w:color w:val="000000"/>
        </w:rPr>
        <w:t xml:space="preserve"> </w:t>
      </w:r>
      <w:r>
        <w:rPr>
          <w:color w:val="000000"/>
        </w:rPr>
        <w:t xml:space="preserve">Thus, the Complaint should be dismissed as contrary to legislative intent. </w:t>
      </w:r>
      <w:proofErr w:type="spellStart"/>
      <w:r>
        <w:rPr>
          <w:color w:val="000000"/>
        </w:rPr>
        <w:t>Compl</w:t>
      </w:r>
      <w:proofErr w:type="spellEnd"/>
      <w:r>
        <w:rPr>
          <w:color w:val="000000"/>
        </w:rPr>
        <w:t xml:space="preserve">. </w:t>
      </w:r>
      <w:proofErr w:type="gramStart"/>
      <w:r>
        <w:rPr>
          <w:color w:val="000000"/>
        </w:rPr>
        <w:t>¶¶ 21, 24, 25.</w:t>
      </w:r>
      <w:proofErr w:type="gramEnd"/>
    </w:p>
    <w:p w14:paraId="40CC086F" w14:textId="77777777" w:rsidR="00A702C3" w:rsidRDefault="00A702C3" w:rsidP="00A702C3">
      <w:pPr>
        <w:pStyle w:val="table0020grid1"/>
        <w:spacing w:before="0" w:beforeAutospacing="0" w:after="0" w:afterAutospacing="0" w:line="480" w:lineRule="auto"/>
        <w:ind w:firstLine="720"/>
        <w:rPr>
          <w:color w:val="000000"/>
        </w:rPr>
      </w:pPr>
      <w:r>
        <w:rPr>
          <w:color w:val="000000"/>
        </w:rPr>
        <w:t xml:space="preserve">If the plain language of a statute is ambiguous, a court may look to the legislative history to clarify Congressional intent.  </w:t>
      </w:r>
      <w:r>
        <w:rPr>
          <w:i/>
          <w:color w:val="000000"/>
        </w:rPr>
        <w:t xml:space="preserve">See </w:t>
      </w:r>
      <w:proofErr w:type="spellStart"/>
      <w:r>
        <w:rPr>
          <w:i/>
          <w:color w:val="000000"/>
        </w:rPr>
        <w:t>Carcieri</w:t>
      </w:r>
      <w:proofErr w:type="spellEnd"/>
      <w:r>
        <w:rPr>
          <w:i/>
          <w:color w:val="000000"/>
        </w:rPr>
        <w:t xml:space="preserve"> v. Salazar</w:t>
      </w:r>
      <w:r>
        <w:rPr>
          <w:color w:val="000000"/>
        </w:rPr>
        <w:t xml:space="preserve">, 555 U.S. 379, 396, (utilizing legislative history when interpreting a statute with linguistic ambiguity).  The legislative history of the Copyright Act supports Defendants’ Motion to Dismiss for Plaintiff’s allegations do not constitute a “Work Made for Hire” as contemplated by the Legislature in drafting the Copyright Act.  The extensive history of revisions to the Copyright Act as described in the Second Supplemental Register’s Report on the General Revision support Defendant’s position that authors’ rights are currently recognized under the definitions in §101.  While the Copyright Office’s Preliminary Draft Bill “explicitly excluded commissioned works from the scope of ‘works made for hire,’” in response to “strong opposition,” the 1964 Revision Bill attempted to “draw a proper line” and incorporate commissioned work under the definition. </w:t>
      </w:r>
      <w:r>
        <w:rPr>
          <w:i/>
          <w:color w:val="000000"/>
        </w:rPr>
        <w:t>Second General Revision, supra</w:t>
      </w:r>
      <w:r>
        <w:rPr>
          <w:color w:val="000000"/>
        </w:rPr>
        <w:t xml:space="preserve"> at 301.  As addressed in the 1965 Supplementary Report of the Register on the General Revision, the legislature’s initial incorporation of commissioned work in the definitions and attempted line drawing “drew even heavier fire from the representatives of author’s organizations.” </w:t>
      </w:r>
      <w:r>
        <w:rPr>
          <w:i/>
          <w:color w:val="000000"/>
        </w:rPr>
        <w:t>Id</w:t>
      </w:r>
      <w:r>
        <w:rPr>
          <w:color w:val="000000"/>
        </w:rPr>
        <w:t xml:space="preserve">.  As a result, the 1965 Revision Bill passed by the House on April 11, 1967 “represented a carefully balanced compromise” intended to consider and balance the interests of both publishers and authors. </w:t>
      </w:r>
      <w:r>
        <w:rPr>
          <w:i/>
          <w:color w:val="000000"/>
        </w:rPr>
        <w:t>Id</w:t>
      </w:r>
      <w:r>
        <w:rPr>
          <w:color w:val="000000"/>
        </w:rPr>
        <w:t>.  This balancing of rights throughout the legislative history compels dismissal of the Complaint because the Legislature did not intend for agreements signed after creation of work, such as Plaintiff alleges, to fall within the “Work Made for Hire” provision.</w:t>
      </w:r>
    </w:p>
    <w:p w14:paraId="6E6C67C2" w14:textId="77777777" w:rsidR="00A702C3" w:rsidRPr="0047214C" w:rsidRDefault="00A702C3" w:rsidP="00A702C3">
      <w:pPr>
        <w:pStyle w:val="table0020grid1"/>
        <w:spacing w:before="0" w:beforeAutospacing="0" w:after="0" w:afterAutospacing="0" w:line="480" w:lineRule="auto"/>
        <w:ind w:firstLine="720"/>
        <w:rPr>
          <w:color w:val="000000"/>
        </w:rPr>
      </w:pPr>
      <w:r>
        <w:rPr>
          <w:color w:val="000000"/>
        </w:rPr>
        <w:lastRenderedPageBreak/>
        <w:t xml:space="preserve">Excerpts from House Report 94-1476 reveal the legislative objective behind the creation of the writing requirement as a tool for line drawing and thus further supports Defendants’ Motion to Dismiss.  The relevant sections of the statute, primarily §101 and §201, are the carefully crafted and deliberate result of an exhaustively debated consideration for competing interests in the context of works made for hire and “collective work.” H.R. Rep. No. 94-1476 at 5736-5737.  In response to the problem of “how to draw a statutory line between those works written on special order or commission and those that should be considered as ‘works made for hire’ and those that should not,” the House Report explains “the definition now provided by the bill represents a compromise which, in effect, spells out those specific categories of commissioned works that can be considered ‘works made for hire’ under certain circumstances.” </w:t>
      </w:r>
      <w:proofErr w:type="gramStart"/>
      <w:r>
        <w:rPr>
          <w:i/>
          <w:color w:val="000000"/>
        </w:rPr>
        <w:t>Id.</w:t>
      </w:r>
      <w:r>
        <w:rPr>
          <w:color w:val="000000"/>
        </w:rPr>
        <w:t xml:space="preserve"> at 5737.</w:t>
      </w:r>
      <w:proofErr w:type="gramEnd"/>
    </w:p>
    <w:p w14:paraId="4FD56AB9" w14:textId="77777777" w:rsidR="00A702C3" w:rsidRDefault="00A702C3" w:rsidP="00A702C3">
      <w:pPr>
        <w:pStyle w:val="table0020grid1"/>
        <w:spacing w:before="0" w:beforeAutospacing="0" w:after="0" w:afterAutospacing="0" w:line="480" w:lineRule="auto"/>
        <w:ind w:firstLine="720"/>
        <w:rPr>
          <w:color w:val="000000"/>
        </w:rPr>
      </w:pPr>
      <w:r>
        <w:rPr>
          <w:color w:val="000000"/>
        </w:rPr>
        <w:t xml:space="preserve">This compromising definition is the exact text adopted in the 1976 version of the Copyright Act §101(2).  This supports the notion that legislators, in response to input from authors’ organizations, showed concern for protecting authors’ interests when drafting this version of the Copyright Act. Furthermore, §201(a) “reaffirms the established principle that copyright ownership originates in the </w:t>
      </w:r>
      <w:r w:rsidRPr="00033A2F">
        <w:rPr>
          <w:i/>
          <w:color w:val="000000"/>
        </w:rPr>
        <w:t>author</w:t>
      </w:r>
      <w:r>
        <w:rPr>
          <w:color w:val="000000"/>
        </w:rPr>
        <w:t xml:space="preserve">.” </w:t>
      </w:r>
      <w:r>
        <w:rPr>
          <w:i/>
          <w:color w:val="000000"/>
        </w:rPr>
        <w:t>Second General Revision</w:t>
      </w:r>
      <w:r w:rsidR="00096CB1">
        <w:rPr>
          <w:color w:val="000000"/>
        </w:rPr>
        <w:t xml:space="preserve">, </w:t>
      </w:r>
      <w:r w:rsidR="00096CB1">
        <w:rPr>
          <w:i/>
          <w:color w:val="000000"/>
        </w:rPr>
        <w:t xml:space="preserve">supra </w:t>
      </w:r>
      <w:r w:rsidR="00096CB1">
        <w:rPr>
          <w:color w:val="000000"/>
        </w:rPr>
        <w:t>at 297</w:t>
      </w:r>
      <w:r>
        <w:rPr>
          <w:color w:val="000000"/>
        </w:rPr>
        <w:t>.</w:t>
      </w:r>
      <w:r w:rsidR="009D6455">
        <w:rPr>
          <w:color w:val="000000"/>
        </w:rPr>
        <w:t xml:space="preserve"> (</w:t>
      </w:r>
      <w:proofErr w:type="gramStart"/>
      <w:r w:rsidR="009D6455">
        <w:rPr>
          <w:color w:val="000000"/>
        </w:rPr>
        <w:t>emphasis</w:t>
      </w:r>
      <w:proofErr w:type="gramEnd"/>
      <w:r w:rsidR="009D6455">
        <w:rPr>
          <w:color w:val="000000"/>
        </w:rPr>
        <w:t xml:space="preserve"> supplied).</w:t>
      </w:r>
      <w:r>
        <w:rPr>
          <w:color w:val="000000"/>
        </w:rPr>
        <w:t xml:space="preserve">  The emphasis on incorporating authors’ interests exhibits legislative intent to balance the unequal bargaining power between authors and publishers and make intellectual property rights clear.  </w:t>
      </w:r>
      <w:r>
        <w:rPr>
          <w:i/>
          <w:color w:val="000000"/>
        </w:rPr>
        <w:t>Second General Revision, supra</w:t>
      </w:r>
      <w:r>
        <w:rPr>
          <w:color w:val="000000"/>
        </w:rPr>
        <w:t xml:space="preserve"> at 301.  Accordingly, when drafting and revising §101(2), the Legislature “drew the line” for “Work Made for Hire” agreements to effectuate their purpose in fostering predictability of ownership. </w:t>
      </w:r>
      <w:r>
        <w:rPr>
          <w:i/>
          <w:color w:val="000000"/>
        </w:rPr>
        <w:t>Id</w:t>
      </w:r>
      <w:r>
        <w:rPr>
          <w:color w:val="000000"/>
        </w:rPr>
        <w:t>.  Plaintiff’s contention that the agreement signed after creation of the work qualifies the screenplay as a “Work Made for Hire” is contrary to the legislative purpose in “line drawing,” therefore the Complaint should be dismissed.</w:t>
      </w:r>
    </w:p>
    <w:p w14:paraId="496C0EC0" w14:textId="77777777" w:rsidR="00A702C3" w:rsidRDefault="00A702C3" w:rsidP="00A702C3">
      <w:pPr>
        <w:pStyle w:val="table0020grid1"/>
        <w:spacing w:before="0" w:beforeAutospacing="0" w:after="0" w:afterAutospacing="0" w:line="480" w:lineRule="auto"/>
        <w:ind w:firstLine="720"/>
        <w:rPr>
          <w:color w:val="000000"/>
        </w:rPr>
      </w:pPr>
      <w:r>
        <w:rPr>
          <w:color w:val="000000"/>
        </w:rPr>
        <w:lastRenderedPageBreak/>
        <w:t xml:space="preserve">The legislative history indicates Congress drafted and enacted the precise definitions in the “Work Made for Hire” doctrine under §101 of the Copyright Act to ensure “predictability through advance planning.” </w:t>
      </w:r>
      <w:proofErr w:type="spellStart"/>
      <w:r>
        <w:rPr>
          <w:i/>
          <w:color w:val="000000"/>
        </w:rPr>
        <w:t>Cmty</w:t>
      </w:r>
      <w:proofErr w:type="spellEnd"/>
      <w:r>
        <w:rPr>
          <w:i/>
          <w:color w:val="000000"/>
        </w:rPr>
        <w:t xml:space="preserve">. </w:t>
      </w:r>
      <w:proofErr w:type="gramStart"/>
      <w:r>
        <w:rPr>
          <w:i/>
          <w:color w:val="000000"/>
        </w:rPr>
        <w:t>for</w:t>
      </w:r>
      <w:proofErr w:type="gramEnd"/>
      <w:r>
        <w:rPr>
          <w:i/>
          <w:color w:val="000000"/>
        </w:rPr>
        <w:t xml:space="preserve"> Creative Non-Violence v. Reid, </w:t>
      </w:r>
      <w:r>
        <w:rPr>
          <w:color w:val="000000"/>
        </w:rPr>
        <w:t xml:space="preserve">490 U.S. 730, 750 (1989).  The notion of a meeting of the minds is an integral part of copyright law necessary to clarify parties’ respective expectations. </w:t>
      </w:r>
      <w:r>
        <w:rPr>
          <w:i/>
          <w:color w:val="000000"/>
        </w:rPr>
        <w:t xml:space="preserve"> Id.</w:t>
      </w:r>
      <w:r>
        <w:rPr>
          <w:color w:val="000000"/>
        </w:rPr>
        <w:t xml:space="preserve"> at 749-750.  Inclusion of a writing requirement assists Congress in achieving these goals of the Copyright Act.  </w:t>
      </w:r>
      <w:r>
        <w:rPr>
          <w:i/>
          <w:color w:val="000000"/>
        </w:rPr>
        <w:t>See Playboy Enterprises, Inc. v. Dumas</w:t>
      </w:r>
      <w:r>
        <w:rPr>
          <w:color w:val="000000"/>
        </w:rPr>
        <w:t xml:space="preserve">, 53 F.3d 549, 559 (1995) (providing, “The writing requirement was created, in part, to make the ownership of intellectual property rights clear and definite”).  </w:t>
      </w:r>
      <w:proofErr w:type="gramStart"/>
      <w:r>
        <w:rPr>
          <w:color w:val="000000"/>
        </w:rPr>
        <w:t xml:space="preserve">The courts in </w:t>
      </w:r>
      <w:r>
        <w:rPr>
          <w:i/>
          <w:color w:val="000000"/>
        </w:rPr>
        <w:t>Playboy Enterprises, Inc.</w:t>
      </w:r>
      <w:r>
        <w:rPr>
          <w:color w:val="000000"/>
        </w:rPr>
        <w:t xml:space="preserve"> and </w:t>
      </w:r>
      <w:proofErr w:type="spellStart"/>
      <w:r>
        <w:rPr>
          <w:i/>
          <w:color w:val="000000"/>
        </w:rPr>
        <w:t>Cmty</w:t>
      </w:r>
      <w:proofErr w:type="spellEnd"/>
      <w:r>
        <w:rPr>
          <w:i/>
          <w:color w:val="000000"/>
        </w:rPr>
        <w:t>.</w:t>
      </w:r>
      <w:proofErr w:type="gramEnd"/>
      <w:r>
        <w:rPr>
          <w:i/>
          <w:color w:val="000000"/>
        </w:rPr>
        <w:t xml:space="preserve"> </w:t>
      </w:r>
      <w:proofErr w:type="gramStart"/>
      <w:r>
        <w:rPr>
          <w:i/>
          <w:color w:val="000000"/>
        </w:rPr>
        <w:t>for</w:t>
      </w:r>
      <w:proofErr w:type="gramEnd"/>
      <w:r>
        <w:rPr>
          <w:i/>
          <w:color w:val="000000"/>
        </w:rPr>
        <w:t xml:space="preserve"> Creative Non-</w:t>
      </w:r>
      <w:r w:rsidRPr="00AA5009">
        <w:rPr>
          <w:i/>
          <w:color w:val="000000"/>
        </w:rPr>
        <w:t>Violence</w:t>
      </w:r>
      <w:r>
        <w:rPr>
          <w:color w:val="000000"/>
        </w:rPr>
        <w:t xml:space="preserve"> </w:t>
      </w:r>
      <w:r w:rsidRPr="00B30E64">
        <w:rPr>
          <w:color w:val="000000"/>
        </w:rPr>
        <w:t>relied</w:t>
      </w:r>
      <w:r>
        <w:rPr>
          <w:color w:val="000000"/>
        </w:rPr>
        <w:t xml:space="preserve"> on analyses Copyright Act’s legislative history when making these determinations.  “In a ‘copyright marketplace,’ the parties negotiate with an expectation that one of them will own the copyright in the completed work…with that expectation, the parties at the outset can settle on relevant contractual terms, such as the price for the work and ownership of reproduction rights.” </w:t>
      </w:r>
      <w:proofErr w:type="spellStart"/>
      <w:r>
        <w:rPr>
          <w:i/>
          <w:color w:val="000000"/>
        </w:rPr>
        <w:t>Cmty</w:t>
      </w:r>
      <w:proofErr w:type="spellEnd"/>
      <w:r>
        <w:rPr>
          <w:i/>
          <w:color w:val="000000"/>
        </w:rPr>
        <w:t xml:space="preserve">. </w:t>
      </w:r>
      <w:proofErr w:type="gramStart"/>
      <w:r>
        <w:rPr>
          <w:i/>
          <w:color w:val="000000"/>
        </w:rPr>
        <w:t>for</w:t>
      </w:r>
      <w:proofErr w:type="gramEnd"/>
      <w:r>
        <w:rPr>
          <w:i/>
          <w:color w:val="000000"/>
        </w:rPr>
        <w:t xml:space="preserve"> Creative Non-Violence</w:t>
      </w:r>
      <w:r>
        <w:rPr>
          <w:color w:val="000000"/>
        </w:rPr>
        <w:t>,</w:t>
      </w:r>
      <w:r>
        <w:rPr>
          <w:i/>
          <w:color w:val="000000"/>
        </w:rPr>
        <w:t xml:space="preserve"> </w:t>
      </w:r>
      <w:r>
        <w:rPr>
          <w:color w:val="000000"/>
        </w:rPr>
        <w:t xml:space="preserve">490 U.S. at 750 (citing </w:t>
      </w:r>
      <w:r>
        <w:rPr>
          <w:i/>
          <w:color w:val="000000"/>
        </w:rPr>
        <w:t xml:space="preserve">Dumas v. </w:t>
      </w:r>
      <w:proofErr w:type="spellStart"/>
      <w:r>
        <w:rPr>
          <w:i/>
          <w:color w:val="000000"/>
        </w:rPr>
        <w:t>Gommerman</w:t>
      </w:r>
      <w:proofErr w:type="spellEnd"/>
      <w:r>
        <w:rPr>
          <w:color w:val="000000"/>
        </w:rPr>
        <w:t>, 856 F. 2d. 1093, 1104-5, n. 18 (9th Cir. 1989)).</w:t>
      </w:r>
    </w:p>
    <w:p w14:paraId="517EC9E5" w14:textId="77777777" w:rsidR="00A702C3" w:rsidRDefault="00A702C3" w:rsidP="00A702C3">
      <w:pPr>
        <w:pStyle w:val="table0020grid1"/>
        <w:spacing w:before="0" w:beforeAutospacing="0" w:after="0" w:afterAutospacing="0" w:line="480" w:lineRule="auto"/>
        <w:ind w:firstLine="720"/>
        <w:rPr>
          <w:color w:val="000000"/>
        </w:rPr>
      </w:pPr>
      <w:r>
        <w:rPr>
          <w:color w:val="000000"/>
        </w:rPr>
        <w:t xml:space="preserve">Plaintiff has not alleged the parties signed an express written agreement prior to creation of the work pursuant to the Congressional objectives of ensuring predictability and clarity of expectations as exemplified in the legislative history of the Copyright Act.  It is contrary to the intent of the legislature to presume authors’ rights are appropriately and adequately protected in instances where parties could sign a “Work Made for Hire” agreement </w:t>
      </w:r>
      <w:r w:rsidRPr="007B7C6F">
        <w:rPr>
          <w:i/>
          <w:color w:val="000000"/>
        </w:rPr>
        <w:t>after</w:t>
      </w:r>
      <w:r>
        <w:rPr>
          <w:color w:val="000000"/>
        </w:rPr>
        <w:t xml:space="preserve"> putting in time and effort into a specially commissioned work’s creation. </w:t>
      </w:r>
      <w:r w:rsidR="00C33C26">
        <w:rPr>
          <w:color w:val="000000"/>
        </w:rPr>
        <w:t xml:space="preserve"> </w:t>
      </w:r>
      <w:r w:rsidR="00C33C26">
        <w:rPr>
          <w:i/>
          <w:color w:val="000000"/>
        </w:rPr>
        <w:t xml:space="preserve">Second General Report, supra </w:t>
      </w:r>
      <w:r w:rsidR="00C33C26">
        <w:rPr>
          <w:color w:val="000000"/>
        </w:rPr>
        <w:t xml:space="preserve">at 301.  </w:t>
      </w:r>
      <w:r>
        <w:rPr>
          <w:color w:val="000000"/>
        </w:rPr>
        <w:t>In this case, Plaintiff alleges an agreement was signed after Defendant Ms. Lime had created the screenplay, “Anticipatory Repudiation.”  T</w:t>
      </w:r>
      <w:r w:rsidRPr="0074438B">
        <w:rPr>
          <w:color w:val="000000"/>
        </w:rPr>
        <w:t xml:space="preserve">he Complaint must be dismissed because the legislative purpose of the Copyright Act affords protection to authors </w:t>
      </w:r>
      <w:r>
        <w:rPr>
          <w:color w:val="000000"/>
        </w:rPr>
        <w:t xml:space="preserve">of specially commissioned </w:t>
      </w:r>
      <w:r>
        <w:rPr>
          <w:color w:val="000000"/>
        </w:rPr>
        <w:lastRenderedPageBreak/>
        <w:t>works</w:t>
      </w:r>
      <w:r w:rsidRPr="0074438B">
        <w:rPr>
          <w:color w:val="000000"/>
        </w:rPr>
        <w:t xml:space="preserve"> through </w:t>
      </w:r>
      <w:r>
        <w:rPr>
          <w:color w:val="000000"/>
        </w:rPr>
        <w:t xml:space="preserve">the requirement of </w:t>
      </w:r>
      <w:r w:rsidRPr="0074438B">
        <w:rPr>
          <w:color w:val="000000"/>
        </w:rPr>
        <w:t xml:space="preserve">signed </w:t>
      </w:r>
      <w:r>
        <w:rPr>
          <w:color w:val="000000"/>
        </w:rPr>
        <w:t>written agreement preceding author creation, the existence of which has not been alleged by Plaintiff.</w:t>
      </w:r>
    </w:p>
    <w:p w14:paraId="0814307C" w14:textId="77777777" w:rsidR="00A702C3" w:rsidRDefault="00A702C3" w:rsidP="00A702C3">
      <w:pPr>
        <w:pStyle w:val="table0020grid1"/>
        <w:spacing w:before="0" w:beforeAutospacing="0" w:after="0" w:afterAutospacing="0" w:line="480" w:lineRule="auto"/>
        <w:ind w:firstLine="720"/>
        <w:rPr>
          <w:color w:val="000000"/>
        </w:rPr>
      </w:pPr>
      <w:r>
        <w:rPr>
          <w:color w:val="000000"/>
        </w:rPr>
        <w:t xml:space="preserve">The court in </w:t>
      </w:r>
      <w:r>
        <w:rPr>
          <w:i/>
          <w:color w:val="000000"/>
        </w:rPr>
        <w:t xml:space="preserve">Schiller v. Schmidt, Inc. v. </w:t>
      </w:r>
      <w:proofErr w:type="spellStart"/>
      <w:r>
        <w:rPr>
          <w:i/>
          <w:color w:val="000000"/>
        </w:rPr>
        <w:t>Nordisco</w:t>
      </w:r>
      <w:proofErr w:type="spellEnd"/>
      <w:r>
        <w:rPr>
          <w:i/>
          <w:color w:val="000000"/>
        </w:rPr>
        <w:t xml:space="preserve"> Corp., </w:t>
      </w:r>
      <w:r>
        <w:rPr>
          <w:color w:val="000000"/>
        </w:rPr>
        <w:t xml:space="preserve">969 F.2d 410, 413 (7th Cir. 1992) looked to legislative history and utilized its principles in its analysis of “Works Made for Hire.”  The </w:t>
      </w:r>
      <w:r>
        <w:rPr>
          <w:i/>
          <w:color w:val="000000"/>
        </w:rPr>
        <w:t xml:space="preserve">Schiller </w:t>
      </w:r>
      <w:r>
        <w:rPr>
          <w:color w:val="000000"/>
        </w:rPr>
        <w:t>court explicitly determined the Copyright Act dictates “the writing must precede the creation of the property in order to serve its purpose of identifying the (</w:t>
      </w:r>
      <w:proofErr w:type="spellStart"/>
      <w:r>
        <w:rPr>
          <w:color w:val="000000"/>
        </w:rPr>
        <w:t>noncreator</w:t>
      </w:r>
      <w:proofErr w:type="spellEnd"/>
      <w:r>
        <w:rPr>
          <w:color w:val="000000"/>
        </w:rPr>
        <w:t xml:space="preserve">) owner unequivocally.” </w:t>
      </w:r>
      <w:proofErr w:type="gramStart"/>
      <w:r>
        <w:rPr>
          <w:i/>
          <w:color w:val="000000"/>
        </w:rPr>
        <w:t>Id</w:t>
      </w:r>
      <w:r>
        <w:rPr>
          <w:color w:val="000000"/>
        </w:rPr>
        <w:t>. at 413.</w:t>
      </w:r>
      <w:proofErr w:type="gramEnd"/>
    </w:p>
    <w:p w14:paraId="0994B3CE" w14:textId="77777777" w:rsidR="00A702C3" w:rsidRDefault="00A702C3" w:rsidP="00A702C3">
      <w:pPr>
        <w:pStyle w:val="table0020grid1"/>
        <w:spacing w:before="0" w:beforeAutospacing="0" w:after="0" w:afterAutospacing="0" w:line="480" w:lineRule="auto"/>
        <w:ind w:firstLine="720"/>
        <w:rPr>
          <w:color w:val="000000"/>
        </w:rPr>
      </w:pPr>
      <w:r>
        <w:rPr>
          <w:color w:val="000000"/>
        </w:rPr>
        <w:t xml:space="preserve">In </w:t>
      </w:r>
      <w:r w:rsidRPr="004973FC">
        <w:rPr>
          <w:i/>
          <w:color w:val="000000"/>
        </w:rPr>
        <w:t>Schiller</w:t>
      </w:r>
      <w:r>
        <w:rPr>
          <w:color w:val="000000"/>
        </w:rPr>
        <w:t xml:space="preserve">, the court confronted the issue of determining whether certain photographs taken and used in promotional materials were considered “work made for hire” under the Copyright Act.  The photographer, </w:t>
      </w:r>
      <w:proofErr w:type="spellStart"/>
      <w:r>
        <w:rPr>
          <w:color w:val="000000"/>
        </w:rPr>
        <w:t>Nordisco</w:t>
      </w:r>
      <w:proofErr w:type="spellEnd"/>
      <w:r>
        <w:rPr>
          <w:color w:val="000000"/>
        </w:rPr>
        <w:t xml:space="preserve">, having initially taken the pictures for Schiller’s catalogue, later used them for his own purposes.  In order to determine whether </w:t>
      </w:r>
      <w:proofErr w:type="spellStart"/>
      <w:r>
        <w:rPr>
          <w:color w:val="000000"/>
        </w:rPr>
        <w:t>Nordisco</w:t>
      </w:r>
      <w:proofErr w:type="spellEnd"/>
      <w:r>
        <w:rPr>
          <w:color w:val="000000"/>
        </w:rPr>
        <w:t xml:space="preserve"> had in fact infringed on Schiller’s copyright, the court first had to establish that Schiller in fact owned the copyright to the photographs under the work made for hire doctrine.  To do so, the court analyzed the legislative intent behind the writing requirement. As Judge Posner recognized in the opinion, t</w:t>
      </w:r>
      <w:r w:rsidRPr="00787B9E">
        <w:rPr>
          <w:color w:val="000000"/>
        </w:rPr>
        <w:t>he</w:t>
      </w:r>
      <w:r>
        <w:rPr>
          <w:color w:val="000000"/>
        </w:rPr>
        <w:t xml:space="preserve"> signed-statement requirement in §101(2) “is not only designed to protect people against false claims of oral agreements…” but “has a second purpose-to make the ownership of property rights in intellectual property clear and definite…” </w:t>
      </w:r>
      <w:proofErr w:type="gramStart"/>
      <w:r>
        <w:rPr>
          <w:i/>
          <w:color w:val="000000"/>
        </w:rPr>
        <w:t>Id</w:t>
      </w:r>
      <w:r>
        <w:rPr>
          <w:color w:val="000000"/>
        </w:rPr>
        <w:t>. at 412.</w:t>
      </w:r>
      <w:proofErr w:type="gramEnd"/>
      <w:r>
        <w:rPr>
          <w:color w:val="000000"/>
        </w:rPr>
        <w:t xml:space="preserve">   This finding is consistent with legislative intents and purposes for creation of the Copyright Act and drafting the definitions as previously described.  </w:t>
      </w:r>
    </w:p>
    <w:p w14:paraId="28C2A680" w14:textId="77777777" w:rsidR="00A702C3" w:rsidRPr="002A7B92" w:rsidRDefault="00A702C3" w:rsidP="00A702C3">
      <w:pPr>
        <w:pStyle w:val="table0020grid1"/>
        <w:spacing w:before="0" w:beforeAutospacing="0" w:after="0" w:afterAutospacing="0" w:line="480" w:lineRule="auto"/>
        <w:ind w:firstLine="720"/>
        <w:rPr>
          <w:color w:val="FF0000"/>
        </w:rPr>
      </w:pPr>
      <w:r>
        <w:rPr>
          <w:color w:val="000000"/>
        </w:rPr>
        <w:t xml:space="preserve">Furthermore, the court in </w:t>
      </w:r>
      <w:r>
        <w:rPr>
          <w:i/>
          <w:color w:val="000000"/>
        </w:rPr>
        <w:t>Schiller</w:t>
      </w:r>
      <w:r>
        <w:rPr>
          <w:color w:val="000000"/>
        </w:rPr>
        <w:t xml:space="preserve"> affirmed legislative intent to acknowledge the right that original copyrights remain with authors unless expressly specified otherwise. </w:t>
      </w:r>
      <w:proofErr w:type="gramStart"/>
      <w:r>
        <w:rPr>
          <w:i/>
          <w:color w:val="000000"/>
        </w:rPr>
        <w:t>Id</w:t>
      </w:r>
      <w:r>
        <w:rPr>
          <w:color w:val="000000"/>
        </w:rPr>
        <w:t>. at 413.</w:t>
      </w:r>
      <w:proofErr w:type="gramEnd"/>
      <w:r>
        <w:rPr>
          <w:color w:val="000000"/>
        </w:rPr>
        <w:t xml:space="preserve">  “The creator of the property is the owner, unless he is an employee creating the property within the scope of his employment or the parties have agreed in a writing signed by both that the person </w:t>
      </w:r>
      <w:r>
        <w:rPr>
          <w:color w:val="000000"/>
        </w:rPr>
        <w:lastRenderedPageBreak/>
        <w:t xml:space="preserve">who commissioned the creation of the property is the owner.” </w:t>
      </w:r>
      <w:r>
        <w:rPr>
          <w:i/>
          <w:color w:val="000000"/>
        </w:rPr>
        <w:t>Id</w:t>
      </w:r>
      <w:r>
        <w:rPr>
          <w:color w:val="000000"/>
        </w:rPr>
        <w:t xml:space="preserve">.  As aforementioned, the final stipulation in §101(2) for a work for hire to be valid is the designated writing requirement </w:t>
      </w:r>
      <w:r>
        <w:rPr>
          <w:i/>
          <w:color w:val="000000"/>
        </w:rPr>
        <w:t>must</w:t>
      </w:r>
      <w:r>
        <w:rPr>
          <w:color w:val="000000"/>
        </w:rPr>
        <w:t xml:space="preserve"> precede the creation of the work. </w:t>
      </w:r>
      <w:r>
        <w:rPr>
          <w:i/>
          <w:color w:val="000000"/>
        </w:rPr>
        <w:t>Id</w:t>
      </w:r>
      <w:r>
        <w:rPr>
          <w:color w:val="000000"/>
        </w:rPr>
        <w:t xml:space="preserve">. (emphasis supplied). </w:t>
      </w:r>
    </w:p>
    <w:p w14:paraId="4E7A4CF9" w14:textId="77777777" w:rsidR="00A702C3" w:rsidRDefault="00A702C3" w:rsidP="00A702C3">
      <w:pPr>
        <w:pStyle w:val="table0020grid1"/>
        <w:spacing w:before="0" w:beforeAutospacing="0" w:after="0" w:afterAutospacing="0" w:line="480" w:lineRule="auto"/>
        <w:ind w:firstLine="360"/>
        <w:rPr>
          <w:color w:val="000000"/>
        </w:rPr>
      </w:pPr>
      <w:r>
        <w:t xml:space="preserve">The </w:t>
      </w:r>
      <w:r>
        <w:rPr>
          <w:i/>
        </w:rPr>
        <w:t xml:space="preserve">Schiller </w:t>
      </w:r>
      <w:r>
        <w:t>court</w:t>
      </w:r>
      <w:r w:rsidRPr="00A54A79">
        <w:t xml:space="preserve"> did not find a valid copyright for the photographs in question</w:t>
      </w:r>
      <w:r>
        <w:t xml:space="preserve"> </w:t>
      </w:r>
      <w:r>
        <w:rPr>
          <w:color w:val="000000"/>
        </w:rPr>
        <w:t>due to the nonexistence of a writing signed by both parties designating the work as “made for hire” before the photographs were taken.</w:t>
      </w:r>
      <w:r w:rsidRPr="00A54A79">
        <w:t xml:space="preserve">  </w:t>
      </w:r>
      <w:proofErr w:type="gramStart"/>
      <w:r>
        <w:rPr>
          <w:i/>
        </w:rPr>
        <w:t>Id.</w:t>
      </w:r>
      <w:r>
        <w:t xml:space="preserve"> at 413.</w:t>
      </w:r>
      <w:proofErr w:type="gramEnd"/>
      <w:r>
        <w:t xml:space="preserve">  </w:t>
      </w:r>
      <w:r>
        <w:rPr>
          <w:color w:val="000000"/>
        </w:rPr>
        <w:t xml:space="preserve">In applying a three part inquiry, the court contended, “they were works for hire only if they fell in one or more of the categories of intellectual property enumerated in section 101(2), as they did, </w:t>
      </w:r>
      <w:r>
        <w:rPr>
          <w:i/>
          <w:color w:val="000000"/>
        </w:rPr>
        <w:t>and</w:t>
      </w:r>
      <w:r>
        <w:rPr>
          <w:color w:val="000000"/>
        </w:rPr>
        <w:t xml:space="preserve"> were specially commissioned by Schiller, as they were, </w:t>
      </w:r>
      <w:r>
        <w:rPr>
          <w:i/>
          <w:color w:val="000000"/>
        </w:rPr>
        <w:t>and</w:t>
      </w:r>
      <w:r>
        <w:rPr>
          <w:color w:val="000000"/>
        </w:rPr>
        <w:t xml:space="preserve"> the parties had signed a statement to that effect-which they had not.” </w:t>
      </w:r>
      <w:proofErr w:type="gramStart"/>
      <w:r>
        <w:rPr>
          <w:i/>
          <w:color w:val="000000"/>
        </w:rPr>
        <w:t>Id</w:t>
      </w:r>
      <w:r>
        <w:rPr>
          <w:color w:val="000000"/>
        </w:rPr>
        <w:t>. at 412.</w:t>
      </w:r>
      <w:proofErr w:type="gramEnd"/>
      <w:r>
        <w:rPr>
          <w:i/>
          <w:color w:val="000000"/>
        </w:rPr>
        <w:t xml:space="preserve"> </w:t>
      </w:r>
      <w:r>
        <w:rPr>
          <w:color w:val="000000"/>
        </w:rPr>
        <w:t xml:space="preserve"> </w:t>
      </w:r>
    </w:p>
    <w:p w14:paraId="44E7C971" w14:textId="77777777" w:rsidR="00A702C3" w:rsidRPr="00A16C35" w:rsidRDefault="00A702C3" w:rsidP="00A702C3">
      <w:pPr>
        <w:pStyle w:val="table0020grid1"/>
        <w:spacing w:before="0" w:beforeAutospacing="0" w:after="0" w:afterAutospacing="0" w:line="480" w:lineRule="auto"/>
        <w:ind w:firstLine="720"/>
        <w:rPr>
          <w:color w:val="000000"/>
        </w:rPr>
      </w:pPr>
      <w:r>
        <w:rPr>
          <w:color w:val="000000"/>
        </w:rPr>
        <w:t xml:space="preserve">In the present case, the Complaint fails to allege the final requirement of §101(2), the writing requirement was signed by both parties before creation of the work at issue.  As alleged, the work in question fails to meet the requirements of </w:t>
      </w:r>
      <w:r>
        <w:rPr>
          <w:i/>
          <w:color w:val="000000"/>
        </w:rPr>
        <w:t>Schiller’s</w:t>
      </w:r>
      <w:r>
        <w:rPr>
          <w:color w:val="000000"/>
        </w:rPr>
        <w:t xml:space="preserve"> three-part analysis, particularly the stipulation that the writing must be signed prior to creation of the work.  </w:t>
      </w:r>
      <w:r w:rsidRPr="00D12503">
        <w:rPr>
          <w:color w:val="000000"/>
        </w:rPr>
        <w:t>As</w:t>
      </w:r>
      <w:r>
        <w:rPr>
          <w:color w:val="000000"/>
        </w:rPr>
        <w:t xml:space="preserve"> exemplified through the </w:t>
      </w:r>
      <w:r>
        <w:rPr>
          <w:i/>
          <w:color w:val="000000"/>
        </w:rPr>
        <w:t>Schiller</w:t>
      </w:r>
      <w:r>
        <w:rPr>
          <w:color w:val="000000"/>
        </w:rPr>
        <w:t xml:space="preserve"> court’s analysis of legislative history, Defendant Lime, as the creator and author of the screenplay in question, owned and continues to own the copyright to the screenplay in question.  Plaintiff has not alleged ownership of a valid copyright to a “Work Made for Hire” under the Copyright Act, thus Plaintiff has not stated a claim for which relief can be granted.  To decide the contrary would be completely contradictory to the court’s finding in </w:t>
      </w:r>
      <w:proofErr w:type="spellStart"/>
      <w:r>
        <w:rPr>
          <w:i/>
          <w:color w:val="000000"/>
        </w:rPr>
        <w:t>Schilller</w:t>
      </w:r>
      <w:proofErr w:type="spellEnd"/>
      <w:r>
        <w:rPr>
          <w:color w:val="000000"/>
        </w:rPr>
        <w:t>, and the Complaint must be dismissed accordingly.</w:t>
      </w:r>
    </w:p>
    <w:p w14:paraId="0B27DDDA" w14:textId="77777777" w:rsidR="00A702C3" w:rsidRPr="00531E78" w:rsidRDefault="00A702C3" w:rsidP="00A702C3">
      <w:pPr>
        <w:pStyle w:val="table0020grid1"/>
        <w:numPr>
          <w:ilvl w:val="0"/>
          <w:numId w:val="1"/>
        </w:numPr>
        <w:spacing w:before="0" w:beforeAutospacing="0" w:after="0" w:afterAutospacing="0"/>
        <w:rPr>
          <w:b/>
          <w:color w:val="000000"/>
        </w:rPr>
      </w:pPr>
      <w:r>
        <w:rPr>
          <w:b/>
          <w:color w:val="000000"/>
        </w:rPr>
        <w:t>Canons of Construction dictate dismissal of the Complaint for Plaintiff has not alleged a “Work Made for Hire” within the meaning of the Copyright Act</w:t>
      </w:r>
    </w:p>
    <w:p w14:paraId="1376B9F5" w14:textId="77777777" w:rsidR="00A702C3" w:rsidRDefault="00A702C3" w:rsidP="00A702C3">
      <w:pPr>
        <w:pStyle w:val="table0020grid1"/>
        <w:spacing w:before="0" w:beforeAutospacing="0" w:after="0" w:afterAutospacing="0" w:line="480" w:lineRule="auto"/>
        <w:ind w:firstLine="720"/>
      </w:pPr>
    </w:p>
    <w:p w14:paraId="4CC8A39A" w14:textId="77777777" w:rsidR="00A702C3" w:rsidRDefault="00A702C3" w:rsidP="00A702C3">
      <w:pPr>
        <w:pStyle w:val="table0020grid1"/>
        <w:spacing w:before="0" w:beforeAutospacing="0" w:after="0" w:afterAutospacing="0" w:line="480" w:lineRule="auto"/>
        <w:ind w:firstLine="720"/>
      </w:pPr>
      <w:r>
        <w:lastRenderedPageBreak/>
        <w:t xml:space="preserve">Plaintiff’s allegations do not meet the requirements of a “Work Made for Hire” when read in context of the entire statute and the Rule of Lenity, thus, the Complaint must be dismissed.  A court may utilize canons of construction as guidance for interpreting statutes. </w:t>
      </w:r>
      <w:r>
        <w:rPr>
          <w:i/>
        </w:rPr>
        <w:t>See Bob Jones University v. U.S.</w:t>
      </w:r>
      <w:r>
        <w:t>, 461 U.S. 574, 586 (1983) (interpreting a statute beyond literal language through the use of canons of construction).  Li</w:t>
      </w:r>
      <w:r w:rsidRPr="00694F55">
        <w:t>nguist</w:t>
      </w:r>
      <w:r>
        <w:t>ic canons of construction provid</w:t>
      </w:r>
      <w:r w:rsidRPr="00694F55">
        <w:t xml:space="preserve">e that statutes should be interpreted as a whole, rather than separate parts in isolation. </w:t>
      </w:r>
      <w:r w:rsidRPr="00694F55">
        <w:rPr>
          <w:i/>
        </w:rPr>
        <w:t xml:space="preserve">See Massachusetts v. </w:t>
      </w:r>
      <w:proofErr w:type="spellStart"/>
      <w:r w:rsidRPr="00694F55">
        <w:rPr>
          <w:i/>
        </w:rPr>
        <w:t>Morash</w:t>
      </w:r>
      <w:proofErr w:type="spellEnd"/>
      <w:r w:rsidRPr="00694F55">
        <w:rPr>
          <w:i/>
        </w:rPr>
        <w:t xml:space="preserve">, </w:t>
      </w:r>
      <w:r w:rsidRPr="00694F55">
        <w:t xml:space="preserve">490 </w:t>
      </w:r>
      <w:r>
        <w:t xml:space="preserve">U.S. 107, 115 (1989) (demonstrating the importance of the maxim for statutes to be interpreted in entirety). </w:t>
      </w:r>
      <w:r>
        <w:rPr>
          <w:i/>
        </w:rPr>
        <w:t>See also</w:t>
      </w:r>
      <w:r>
        <w:t xml:space="preserve"> </w:t>
      </w:r>
      <w:r>
        <w:rPr>
          <w:i/>
        </w:rPr>
        <w:t>Bob Jones University</w:t>
      </w:r>
      <w:r>
        <w:t>,</w:t>
      </w:r>
      <w:r>
        <w:rPr>
          <w:i/>
        </w:rPr>
        <w:t xml:space="preserve"> </w:t>
      </w:r>
      <w:r>
        <w:t xml:space="preserve">461 U.S. at 586 (quoting </w:t>
      </w:r>
      <w:r>
        <w:rPr>
          <w:i/>
        </w:rPr>
        <w:t xml:space="preserve">Brown v. Duchesne, </w:t>
      </w:r>
      <w:r>
        <w:t>60 U.S. 183, 194, “it is well settled that, in interpreting a statute, the court will not look merely to a particular clause…but will take in connection with it the whole statute…and the objects and policy of the law”).</w:t>
      </w:r>
    </w:p>
    <w:p w14:paraId="48391C3E" w14:textId="77777777" w:rsidR="00A702C3" w:rsidRDefault="00A702C3" w:rsidP="00A702C3">
      <w:pPr>
        <w:pStyle w:val="table0020grid1"/>
        <w:spacing w:before="0" w:beforeAutospacing="0" w:after="0" w:afterAutospacing="0" w:line="480" w:lineRule="auto"/>
        <w:ind w:firstLine="720"/>
        <w:rPr>
          <w:color w:val="000000"/>
        </w:rPr>
      </w:pPr>
      <w:r w:rsidRPr="00694F55">
        <w:t xml:space="preserve"> </w:t>
      </w:r>
      <w:r>
        <w:t xml:space="preserve">When interpreted as a whole as dictated by the canons of construction, the Legislature intended the Copyright Act to foster predictability of ownership for intellectual property. </w:t>
      </w:r>
      <w:proofErr w:type="spellStart"/>
      <w:r>
        <w:rPr>
          <w:i/>
          <w:color w:val="000000"/>
        </w:rPr>
        <w:t>Cmty</w:t>
      </w:r>
      <w:proofErr w:type="spellEnd"/>
      <w:r>
        <w:rPr>
          <w:i/>
          <w:color w:val="000000"/>
        </w:rPr>
        <w:t xml:space="preserve">. </w:t>
      </w:r>
      <w:proofErr w:type="gramStart"/>
      <w:r>
        <w:rPr>
          <w:i/>
          <w:color w:val="000000"/>
        </w:rPr>
        <w:t>for</w:t>
      </w:r>
      <w:proofErr w:type="gramEnd"/>
      <w:r>
        <w:rPr>
          <w:i/>
          <w:color w:val="000000"/>
        </w:rPr>
        <w:t xml:space="preserve"> Creative Non-Violence</w:t>
      </w:r>
      <w:r>
        <w:rPr>
          <w:color w:val="000000"/>
        </w:rPr>
        <w:t>,</w:t>
      </w:r>
      <w:r>
        <w:rPr>
          <w:i/>
          <w:color w:val="000000"/>
        </w:rPr>
        <w:t xml:space="preserve"> </w:t>
      </w:r>
      <w:r>
        <w:rPr>
          <w:color w:val="000000"/>
        </w:rPr>
        <w:t xml:space="preserve">490 U.S. 730 at 750.  </w:t>
      </w:r>
      <w:r>
        <w:t xml:space="preserve">A comparison of the language in </w:t>
      </w:r>
      <w:r w:rsidRPr="00694F55">
        <w:t>§§101(2), 201(c) and 404</w:t>
      </w:r>
      <w:r>
        <w:t xml:space="preserve"> provisions exemplifies the Legislature’s intent to effectuate this purpose.</w:t>
      </w:r>
      <w:r w:rsidRPr="00694F55">
        <w:t xml:space="preserve"> </w:t>
      </w:r>
      <w:r>
        <w:t xml:space="preserve"> </w:t>
      </w:r>
      <w:r>
        <w:rPr>
          <w:color w:val="000000"/>
        </w:rPr>
        <w:t xml:space="preserve">In §101(2), a Work Made for Hire is “a work specially ordered or commissioned for use as a contribution to a collective work…if the parties expressly agree in a written instrument signed by them that the work shall be considered a work made for hire.” H.R. Rep. No. 94-1476 at 5737. </w:t>
      </w:r>
      <w:r>
        <w:rPr>
          <w:color w:val="FF0000"/>
        </w:rPr>
        <w:t xml:space="preserve"> </w:t>
      </w:r>
      <w:r w:rsidRPr="004A26B7">
        <w:t xml:space="preserve">Read relative to §201(c), the provision addressing “collective works” such as the television series at issue, the writing requirement demonstrates the Legislature’s interest in a “fair balancing of equities” in response to author’s concerns with preserving copyrights to contributions of collective works. </w:t>
      </w:r>
      <w:r>
        <w:rPr>
          <w:i/>
          <w:color w:val="000000"/>
        </w:rPr>
        <w:t>Id.</w:t>
      </w:r>
      <w:r>
        <w:rPr>
          <w:color w:val="000000"/>
        </w:rPr>
        <w:t xml:space="preserve">at 5738.  Further, §201(c) “in conjunction with the provisions of section 404 dealing with copyright notice, will preserve the author’s copyright in a contribution even if the </w:t>
      </w:r>
      <w:r>
        <w:rPr>
          <w:color w:val="000000"/>
        </w:rPr>
        <w:lastRenderedPageBreak/>
        <w:t>contribution does not bear a separate notice in the author’s name, and without requiring any unqualified transfer of rights to the owner of a collective work. ”</w:t>
      </w:r>
      <w:r>
        <w:rPr>
          <w:i/>
          <w:color w:val="000000"/>
        </w:rPr>
        <w:t>Id</w:t>
      </w:r>
      <w:r>
        <w:rPr>
          <w:color w:val="000000"/>
        </w:rPr>
        <w:t xml:space="preserve">.  In addition, these provisions designate a “presumption that, unless there has been an express transfer of more, the owner of the collective work acquires ‘only the privilege of reproducing and distributing the contribution as part of the collective work.’” </w:t>
      </w:r>
      <w:r>
        <w:rPr>
          <w:i/>
          <w:color w:val="000000"/>
        </w:rPr>
        <w:t>Id</w:t>
      </w:r>
      <w:r>
        <w:rPr>
          <w:color w:val="000000"/>
        </w:rPr>
        <w:t xml:space="preserve">.  </w:t>
      </w:r>
    </w:p>
    <w:p w14:paraId="51FD536F" w14:textId="77777777" w:rsidR="00A702C3" w:rsidRDefault="00A702C3" w:rsidP="00A702C3">
      <w:pPr>
        <w:pStyle w:val="table0020grid1"/>
        <w:spacing w:before="0" w:beforeAutospacing="0" w:after="0" w:afterAutospacing="0" w:line="480" w:lineRule="auto"/>
        <w:ind w:firstLine="720"/>
        <w:rPr>
          <w:color w:val="000000"/>
        </w:rPr>
      </w:pPr>
      <w:r>
        <w:rPr>
          <w:color w:val="000000"/>
        </w:rPr>
        <w:t>Analyzed collectively, these provisions indicate the legislature’s establishment of an author’s continued right to ownership of a copyright for works specially commissioned as contributions to collective works.  The emphasis on preserving the author’s original copyright without an express transfer of more communicates legislative intent to protect authors’ interests, such as Defendant’s, from the Copyright Act as a whole.</w:t>
      </w:r>
    </w:p>
    <w:p w14:paraId="7E76AC27" w14:textId="77777777" w:rsidR="00A702C3" w:rsidRDefault="00A702C3" w:rsidP="00A702C3">
      <w:pPr>
        <w:pStyle w:val="table0020grid1"/>
        <w:spacing w:before="0" w:beforeAutospacing="0" w:after="0" w:afterAutospacing="0" w:line="480" w:lineRule="auto"/>
        <w:ind w:firstLine="720"/>
        <w:rPr>
          <w:color w:val="000000"/>
        </w:rPr>
      </w:pPr>
      <w:r>
        <w:rPr>
          <w:color w:val="000000"/>
        </w:rPr>
        <w:t xml:space="preserve">Applied to the circumstances of this case, Defendant created, authored and owned the screenplay at issue, and subsequently Plaintiff received merely the right to reproduce and distribute the screenplay as a part of the collective work, </w:t>
      </w:r>
      <w:r>
        <w:rPr>
          <w:i/>
          <w:color w:val="000000"/>
        </w:rPr>
        <w:t>Lawless Love</w:t>
      </w:r>
      <w:r>
        <w:rPr>
          <w:color w:val="000000"/>
        </w:rPr>
        <w:t xml:space="preserve">.  Defendant Ms. Lime did not expressly transfer copyright ownership as required by the Copyright Act for Plaintiff to have </w:t>
      </w:r>
      <w:proofErr w:type="gramStart"/>
      <w:r>
        <w:rPr>
          <w:color w:val="000000"/>
        </w:rPr>
        <w:t>plead</w:t>
      </w:r>
      <w:proofErr w:type="gramEnd"/>
      <w:r>
        <w:rPr>
          <w:color w:val="000000"/>
        </w:rPr>
        <w:t xml:space="preserve"> a valid claim for relief.</w:t>
      </w:r>
    </w:p>
    <w:p w14:paraId="29B7446A" w14:textId="77777777" w:rsidR="00A702C3" w:rsidRDefault="00A702C3" w:rsidP="00A702C3">
      <w:pPr>
        <w:pStyle w:val="table0020grid1"/>
        <w:spacing w:before="0" w:beforeAutospacing="0" w:after="0" w:afterAutospacing="0" w:line="480" w:lineRule="auto"/>
        <w:ind w:firstLine="720"/>
        <w:rPr>
          <w:color w:val="000000"/>
        </w:rPr>
      </w:pPr>
      <w:r>
        <w:rPr>
          <w:color w:val="000000"/>
        </w:rPr>
        <w:t xml:space="preserve">In addition, the </w:t>
      </w:r>
      <w:proofErr w:type="spellStart"/>
      <w:r>
        <w:rPr>
          <w:color w:val="000000"/>
        </w:rPr>
        <w:t>the</w:t>
      </w:r>
      <w:proofErr w:type="spellEnd"/>
      <w:r>
        <w:rPr>
          <w:color w:val="000000"/>
        </w:rPr>
        <w:t xml:space="preserve"> Rule of Lenity applies to interpret the statute in favor of Defendant Ms. Lime.  </w:t>
      </w:r>
      <w:r>
        <w:rPr>
          <w:i/>
          <w:color w:val="000000"/>
        </w:rPr>
        <w:t xml:space="preserve">See U.S. v. </w:t>
      </w:r>
      <w:proofErr w:type="spellStart"/>
      <w:r>
        <w:rPr>
          <w:i/>
          <w:color w:val="000000"/>
        </w:rPr>
        <w:t>Granderson</w:t>
      </w:r>
      <w:proofErr w:type="spellEnd"/>
      <w:r>
        <w:rPr>
          <w:color w:val="000000"/>
        </w:rPr>
        <w:t xml:space="preserve">, 511 U.S. 39, 54 (1994) (providing that ambiguity should be interpreted in the Defendant’s favor when other methods of interpretation fail). Although the Rule of Lenity is typically applied to criminal statutes, </w:t>
      </w:r>
      <w:r>
        <w:rPr>
          <w:i/>
          <w:color w:val="000000"/>
        </w:rPr>
        <w:t>Id.</w:t>
      </w:r>
      <w:r>
        <w:rPr>
          <w:color w:val="000000"/>
        </w:rPr>
        <w:t>, the same concept for protect</w:t>
      </w:r>
      <w:r w:rsidR="002C05E5">
        <w:rPr>
          <w:color w:val="000000"/>
        </w:rPr>
        <w:t>ing Defendants’ rights applies</w:t>
      </w:r>
      <w:r>
        <w:rPr>
          <w:color w:val="000000"/>
        </w:rPr>
        <w:t>. In this case, as Defendant, Defendant Ms. Lime is entitled to interpretation under the Rule of Lenity.</w:t>
      </w:r>
    </w:p>
    <w:p w14:paraId="76C84DE0" w14:textId="77777777" w:rsidR="00A702C3" w:rsidRPr="000446C3" w:rsidRDefault="00A702C3" w:rsidP="00A702C3">
      <w:pPr>
        <w:pStyle w:val="table0020grid1"/>
        <w:spacing w:before="0" w:beforeAutospacing="0" w:after="0" w:afterAutospacing="0" w:line="480" w:lineRule="auto"/>
        <w:ind w:firstLine="720"/>
        <w:rPr>
          <w:color w:val="000000"/>
        </w:rPr>
      </w:pPr>
      <w:r>
        <w:t xml:space="preserve">Plaintiff’s allegations do not meet the requirements of a “Work Made for Hire” when read in context of the entire statute and the Rule of Lenity. In accordance with the canons of </w:t>
      </w:r>
      <w:r>
        <w:lastRenderedPageBreak/>
        <w:t>construction, the Complaint must be dismissed for failure to state a claim for relief upon which relief can be granted.</w:t>
      </w:r>
    </w:p>
    <w:p w14:paraId="7D60937E" w14:textId="77777777" w:rsidR="00A702C3" w:rsidRDefault="00A702C3" w:rsidP="00A702C3">
      <w:pPr>
        <w:pStyle w:val="table0020grid1"/>
        <w:spacing w:before="0" w:beforeAutospacing="0" w:after="0" w:afterAutospacing="0" w:line="480" w:lineRule="auto"/>
        <w:jc w:val="center"/>
        <w:rPr>
          <w:color w:val="000000"/>
          <w:u w:val="single"/>
        </w:rPr>
      </w:pPr>
      <w:r>
        <w:rPr>
          <w:b/>
          <w:color w:val="000000"/>
          <w:u w:val="single"/>
        </w:rPr>
        <w:t>CONCLUSION</w:t>
      </w:r>
    </w:p>
    <w:p w14:paraId="7D073232" w14:textId="77777777" w:rsidR="00A702C3" w:rsidRDefault="00A702C3" w:rsidP="00A702C3">
      <w:pPr>
        <w:pStyle w:val="table0020grid1"/>
        <w:spacing w:before="0" w:beforeAutospacing="0" w:after="0" w:afterAutospacing="0" w:line="480" w:lineRule="auto"/>
        <w:rPr>
          <w:color w:val="000000"/>
        </w:rPr>
      </w:pPr>
      <w:r>
        <w:rPr>
          <w:color w:val="000000"/>
        </w:rPr>
        <w:tab/>
        <w:t>For all of the above reasons, the court should grant the Defendant’s Motion to Dismiss. Plain language and the goals of Congress in drafting and enacting the Copyright Act encourage predictability that cannot be accomplished if “Work Made for Hire” agreements are not signed before creation of works.  Likewise, legislative intent throughout the extensive revision process of the Copyright Act and “drawing the line” in the “Work Made for Hire” doctrine indicates consideration for protection of authors’ copyright ownership rights.  Similarly, relevant case law supports that the writing requirement in §101(2) must precede and be signed prior to creation of any work made for hire under the meaning of the Copyright Act.  When interpreted using the canons of construction, the Complaint does not allege a “Work Made for Hire.” Even in the light most favorable to the Plaintiff, the allegations in the Complaint cannot be construed to create the existence of a signed written agreement, as required by the Copyright Act,</w:t>
      </w:r>
      <w:r w:rsidRPr="00E3595D">
        <w:rPr>
          <w:i/>
          <w:color w:val="000000"/>
        </w:rPr>
        <w:t xml:space="preserve"> before</w:t>
      </w:r>
      <w:r>
        <w:rPr>
          <w:color w:val="000000"/>
        </w:rPr>
        <w:t xml:space="preserve"> Defendant created her screenplay</w:t>
      </w:r>
      <w:r w:rsidR="002C05E5">
        <w:rPr>
          <w:color w:val="000000"/>
        </w:rPr>
        <w:t>.  Thus the Court must grant Defendant’s Motion to Dismiss as Plaintiff failed to properly allege a valid claim upon which relief can be granted.</w:t>
      </w:r>
    </w:p>
    <w:p w14:paraId="181D97E3" w14:textId="77777777" w:rsidR="00A702C3" w:rsidRDefault="00A702C3" w:rsidP="00A702C3">
      <w:pPr>
        <w:pStyle w:val="table0020grid1"/>
        <w:spacing w:before="0" w:beforeAutospacing="0" w:after="0" w:afterAutospacing="0" w:line="480" w:lineRule="auto"/>
        <w:rPr>
          <w:color w:val="000000"/>
        </w:rPr>
      </w:pPr>
    </w:p>
    <w:p w14:paraId="42588C59" w14:textId="77777777" w:rsidR="00A702C3" w:rsidRDefault="00A702C3" w:rsidP="00A702C3">
      <w:pPr>
        <w:pStyle w:val="table0020grid1"/>
        <w:spacing w:before="0" w:beforeAutospacing="0" w:after="0" w:afterAutospacing="0" w:line="480" w:lineRule="auto"/>
        <w:rPr>
          <w:color w:val="000000"/>
        </w:rPr>
      </w:pPr>
      <w:r>
        <w:rPr>
          <w:color w:val="000000"/>
        </w:rPr>
        <w:t xml:space="preserve">Dated this </w:t>
      </w:r>
      <w:r w:rsidR="00E821FF">
        <w:rPr>
          <w:color w:val="000000"/>
        </w:rPr>
        <w:t>9</w:t>
      </w:r>
      <w:r w:rsidR="00E821FF" w:rsidRPr="00E821FF">
        <w:rPr>
          <w:color w:val="000000"/>
          <w:vertAlign w:val="superscript"/>
        </w:rPr>
        <w:t>th</w:t>
      </w:r>
      <w:r w:rsidR="00E821FF">
        <w:rPr>
          <w:color w:val="000000"/>
        </w:rPr>
        <w:t xml:space="preserve"> day of </w:t>
      </w:r>
      <w:proofErr w:type="gramStart"/>
      <w:r w:rsidR="00E821FF">
        <w:rPr>
          <w:color w:val="000000"/>
        </w:rPr>
        <w:t>April</w:t>
      </w:r>
      <w:r>
        <w:rPr>
          <w:color w:val="000000"/>
        </w:rPr>
        <w:t>,</w:t>
      </w:r>
      <w:proofErr w:type="gramEnd"/>
      <w:r>
        <w:rPr>
          <w:color w:val="000000"/>
        </w:rPr>
        <w:t xml:space="preserve"> 2012.</w:t>
      </w:r>
    </w:p>
    <w:p w14:paraId="5A0D049A" w14:textId="77777777" w:rsidR="00A702C3" w:rsidRDefault="00A702C3" w:rsidP="00A702C3">
      <w:pPr>
        <w:pStyle w:val="table0020grid1"/>
        <w:spacing w:before="0" w:beforeAutospacing="0" w:after="0" w:afterAutospacing="0" w:line="480" w:lineRule="auto"/>
        <w:rPr>
          <w:color w:val="000000"/>
        </w:rPr>
      </w:pPr>
    </w:p>
    <w:p w14:paraId="407672B8" w14:textId="77777777" w:rsidR="00A702C3" w:rsidRDefault="00A702C3" w:rsidP="00A702C3">
      <w:pPr>
        <w:pStyle w:val="table0020grid1"/>
        <w:spacing w:before="0" w:beforeAutospacing="0" w:after="0" w:afterAutospacing="0" w:line="480" w:lineRule="auto"/>
        <w:rPr>
          <w:color w:val="000000"/>
        </w:rPr>
      </w:pPr>
    </w:p>
    <w:p w14:paraId="1B1BD077" w14:textId="77777777" w:rsidR="000E026F" w:rsidRDefault="00A702C3" w:rsidP="009826C6">
      <w:pPr>
        <w:pStyle w:val="table0020grid1"/>
        <w:spacing w:before="0" w:beforeAutospacing="0" w:after="0" w:afterAutospacing="0" w:line="480" w:lineRule="auto"/>
      </w:pPr>
      <w:r>
        <w:rPr>
          <w:color w:val="000000"/>
        </w:rPr>
        <w:t>Respectfully submitte</w:t>
      </w:r>
      <w:r w:rsidR="00992CEB">
        <w:rPr>
          <w:color w:val="000000"/>
        </w:rPr>
        <w:t>d,</w:t>
      </w:r>
      <w:r w:rsidR="00992CEB">
        <w:rPr>
          <w:color w:val="000000"/>
        </w:rPr>
        <w:tab/>
        <w:t xml:space="preserve"> </w:t>
      </w:r>
      <w:r w:rsidR="009826C6">
        <w:t>&lt;redacted&gt;&lt;/redacted&gt;</w:t>
      </w:r>
      <w:bookmarkStart w:id="0" w:name="_GoBack"/>
      <w:bookmarkEnd w:id="0"/>
    </w:p>
    <w:sectPr w:rsidR="000E026F">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949EC9" w14:textId="77777777" w:rsidR="009538E5" w:rsidRDefault="002B127C">
      <w:pPr>
        <w:spacing w:after="0" w:line="240" w:lineRule="auto"/>
      </w:pPr>
      <w:r>
        <w:separator/>
      </w:r>
    </w:p>
  </w:endnote>
  <w:endnote w:type="continuationSeparator" w:id="0">
    <w:p w14:paraId="7154B693" w14:textId="77777777" w:rsidR="009538E5" w:rsidRDefault="002B12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3093703"/>
      <w:docPartObj>
        <w:docPartGallery w:val="Page Numbers (Bottom of Page)"/>
        <w:docPartUnique/>
      </w:docPartObj>
    </w:sdtPr>
    <w:sdtEndPr>
      <w:rPr>
        <w:noProof/>
      </w:rPr>
    </w:sdtEndPr>
    <w:sdtContent>
      <w:p w14:paraId="78920B05" w14:textId="77777777" w:rsidR="00C66093" w:rsidRDefault="002D6557">
        <w:pPr>
          <w:pStyle w:val="Footer"/>
          <w:jc w:val="right"/>
        </w:pPr>
        <w:r>
          <w:fldChar w:fldCharType="begin"/>
        </w:r>
        <w:r>
          <w:instrText xml:space="preserve"> PAGE   \* MERGEFORMAT </w:instrText>
        </w:r>
        <w:r>
          <w:fldChar w:fldCharType="separate"/>
        </w:r>
        <w:r w:rsidR="009826C6">
          <w:rPr>
            <w:noProof/>
          </w:rPr>
          <w:t>14</w:t>
        </w:r>
        <w:r>
          <w:rPr>
            <w:noProof/>
          </w:rPr>
          <w:fldChar w:fldCharType="end"/>
        </w:r>
      </w:p>
    </w:sdtContent>
  </w:sdt>
  <w:p w14:paraId="15BDB641" w14:textId="77777777" w:rsidR="00C66093" w:rsidRDefault="009826C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1933FC" w14:textId="77777777" w:rsidR="009538E5" w:rsidRDefault="002B127C">
      <w:pPr>
        <w:spacing w:after="0" w:line="240" w:lineRule="auto"/>
      </w:pPr>
      <w:r>
        <w:separator/>
      </w:r>
    </w:p>
  </w:footnote>
  <w:footnote w:type="continuationSeparator" w:id="0">
    <w:p w14:paraId="31F02431" w14:textId="77777777" w:rsidR="009538E5" w:rsidRDefault="002B127C">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FB1759"/>
    <w:multiLevelType w:val="hybridMultilevel"/>
    <w:tmpl w:val="BA3291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2C3"/>
    <w:rsid w:val="00085A69"/>
    <w:rsid w:val="00096CB1"/>
    <w:rsid w:val="000E026F"/>
    <w:rsid w:val="00116145"/>
    <w:rsid w:val="002B127C"/>
    <w:rsid w:val="002C05E5"/>
    <w:rsid w:val="002D6557"/>
    <w:rsid w:val="00494B2D"/>
    <w:rsid w:val="005C0989"/>
    <w:rsid w:val="006B1BA1"/>
    <w:rsid w:val="00854954"/>
    <w:rsid w:val="009538E5"/>
    <w:rsid w:val="009826C6"/>
    <w:rsid w:val="00992CEB"/>
    <w:rsid w:val="009D6455"/>
    <w:rsid w:val="009F3437"/>
    <w:rsid w:val="00A702C3"/>
    <w:rsid w:val="00C33C26"/>
    <w:rsid w:val="00E821FF"/>
    <w:rsid w:val="00FD5C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24E7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2C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0020grid1">
    <w:name w:val="table_0020grid1"/>
    <w:basedOn w:val="Normal"/>
    <w:rsid w:val="00A702C3"/>
    <w:pPr>
      <w:spacing w:before="100" w:beforeAutospacing="1" w:after="100" w:afterAutospacing="1" w:line="240" w:lineRule="auto"/>
    </w:pPr>
    <w:rPr>
      <w:rFonts w:eastAsia="Times New Roman" w:cs="Times New Roman"/>
      <w:szCs w:val="24"/>
    </w:rPr>
  </w:style>
  <w:style w:type="character" w:customStyle="1" w:styleId="apple-style-span">
    <w:name w:val="apple-style-span"/>
    <w:basedOn w:val="DefaultParagraphFont"/>
    <w:rsid w:val="00A702C3"/>
  </w:style>
  <w:style w:type="paragraph" w:styleId="Footer">
    <w:name w:val="footer"/>
    <w:basedOn w:val="Normal"/>
    <w:link w:val="FooterChar"/>
    <w:uiPriority w:val="99"/>
    <w:unhideWhenUsed/>
    <w:rsid w:val="00A702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02C3"/>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02C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0020grid1">
    <w:name w:val="table_0020grid1"/>
    <w:basedOn w:val="Normal"/>
    <w:rsid w:val="00A702C3"/>
    <w:pPr>
      <w:spacing w:before="100" w:beforeAutospacing="1" w:after="100" w:afterAutospacing="1" w:line="240" w:lineRule="auto"/>
    </w:pPr>
    <w:rPr>
      <w:rFonts w:eastAsia="Times New Roman" w:cs="Times New Roman"/>
      <w:szCs w:val="24"/>
    </w:rPr>
  </w:style>
  <w:style w:type="character" w:customStyle="1" w:styleId="apple-style-span">
    <w:name w:val="apple-style-span"/>
    <w:basedOn w:val="DefaultParagraphFont"/>
    <w:rsid w:val="00A702C3"/>
  </w:style>
  <w:style w:type="paragraph" w:styleId="Footer">
    <w:name w:val="footer"/>
    <w:basedOn w:val="Normal"/>
    <w:link w:val="FooterChar"/>
    <w:uiPriority w:val="99"/>
    <w:unhideWhenUsed/>
    <w:rsid w:val="00A702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02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4291</Words>
  <Characters>22958</Characters>
  <Application>Microsoft Macintosh Word</Application>
  <DocSecurity>0</DocSecurity>
  <Lines>342</Lines>
  <Paragraphs>66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27183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2012-04-11T19:00:00Z</cp:lastPrinted>
  <dcterms:created xsi:type="dcterms:W3CDTF">2012-04-12T12:19:00Z</dcterms:created>
  <dcterms:modified xsi:type="dcterms:W3CDTF">2012-06-02T12:57:00Z</dcterms:modified>
  <cp:category/>
</cp:coreProperties>
</file>